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62" w:rsidRPr="005576BB" w:rsidRDefault="00E74BE8" w:rsidP="006F6B62">
      <w:pPr>
        <w:adjustRightInd/>
        <w:spacing w:line="348" w:lineRule="exact"/>
        <w:rPr>
          <w:rFonts w:ascii="ＭＳ 明朝" w:cs="Times New Roman"/>
          <w:color w:val="auto"/>
        </w:rPr>
      </w:pPr>
      <w:bookmarkStart w:id="0" w:name="_GoBack"/>
      <w:bookmarkEnd w:id="0"/>
      <w:r w:rsidRPr="005576BB">
        <w:rPr>
          <w:rFonts w:hint="eastAsia"/>
          <w:color w:val="auto"/>
        </w:rPr>
        <w:t>（別紙２の１）</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p>
    <w:p w:rsidR="006F6B62" w:rsidRPr="005576BB" w:rsidRDefault="00E74BE8" w:rsidP="006F6B62">
      <w:pPr>
        <w:adjustRightInd/>
        <w:spacing w:line="348" w:lineRule="exact"/>
        <w:jc w:val="center"/>
        <w:rPr>
          <w:rFonts w:ascii="ＭＳ 明朝" w:cs="Times New Roman"/>
          <w:color w:val="auto"/>
        </w:rPr>
      </w:pPr>
      <w:r w:rsidRPr="005576BB">
        <w:rPr>
          <w:rFonts w:hint="eastAsia"/>
          <w:color w:val="auto"/>
        </w:rPr>
        <w:t>外部評価の評価機関の要件及び選定手続き等について</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Pr="005576BB">
        <w:rPr>
          <w:rFonts w:hint="eastAsia"/>
          <w:color w:val="auto"/>
        </w:rPr>
        <w:t>第１　評価機関の要件</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Pr="005576BB">
        <w:rPr>
          <w:rFonts w:hint="eastAsia"/>
          <w:color w:val="auto"/>
        </w:rPr>
        <w:t>（１）法人であること。</w:t>
      </w:r>
    </w:p>
    <w:p w:rsidR="006F6B62" w:rsidRPr="005576BB" w:rsidRDefault="00E74BE8" w:rsidP="006F6B62">
      <w:pPr>
        <w:adjustRightInd/>
        <w:spacing w:line="348" w:lineRule="exact"/>
        <w:rPr>
          <w:rFonts w:hint="eastAsia"/>
          <w:color w:val="auto"/>
        </w:rPr>
      </w:pPr>
      <w:r w:rsidRPr="005576BB">
        <w:rPr>
          <w:rFonts w:cs="Times New Roman"/>
          <w:color w:val="auto"/>
        </w:rPr>
        <w:t xml:space="preserve"> </w:t>
      </w:r>
      <w:r w:rsidRPr="005576BB">
        <w:rPr>
          <w:rFonts w:hint="eastAsia"/>
          <w:color w:val="auto"/>
        </w:rPr>
        <w:t>（２）次の要件を満たす評価調査員を必要数確保していること。</w:t>
      </w:r>
    </w:p>
    <w:p w:rsidR="00DE155B" w:rsidRPr="005576BB" w:rsidRDefault="00E74BE8" w:rsidP="00DE155B">
      <w:pPr>
        <w:adjustRightInd/>
        <w:spacing w:line="348" w:lineRule="exact"/>
        <w:ind w:leftChars="200" w:left="660" w:hangingChars="100" w:hanging="220"/>
        <w:rPr>
          <w:rFonts w:ascii="ＭＳ 明朝" w:cs="Times New Roman"/>
          <w:color w:val="auto"/>
        </w:rPr>
      </w:pPr>
      <w:r w:rsidRPr="005576BB">
        <w:rPr>
          <w:rFonts w:hint="eastAsia"/>
          <w:color w:val="auto"/>
        </w:rPr>
        <w:t>①　評価調査員は、サービスの質の向上に関心及び熱意があり、評価を適切に行う能力を有すると認められる者であること。</w:t>
      </w:r>
    </w:p>
    <w:p w:rsidR="00090EE3" w:rsidRPr="005576BB" w:rsidRDefault="00DE155B" w:rsidP="00DE155B">
      <w:pPr>
        <w:adjustRightInd/>
        <w:ind w:leftChars="200" w:left="660" w:hangingChars="100" w:hanging="220"/>
        <w:rPr>
          <w:rFonts w:ascii="ＭＳ 明朝" w:cs="Times New Roman"/>
          <w:color w:val="auto"/>
        </w:rPr>
      </w:pPr>
      <w:r w:rsidRPr="005576BB">
        <w:rPr>
          <w:rFonts w:ascii="ＭＳ 明朝" w:hAnsi="ＭＳ 明朝" w:hint="eastAsia"/>
          <w:color w:val="auto"/>
        </w:rPr>
        <w:t>②</w:t>
      </w:r>
      <w:r w:rsidR="006F6B62" w:rsidRPr="005576BB">
        <w:rPr>
          <w:rFonts w:ascii="ＭＳ 明朝" w:hAnsi="ＭＳ 明朝" w:hint="eastAsia"/>
          <w:color w:val="auto"/>
        </w:rPr>
        <w:t xml:space="preserve">　評価調査員は、</w:t>
      </w:r>
      <w:r w:rsidR="000D4BB6" w:rsidRPr="005576BB">
        <w:rPr>
          <w:rFonts w:ascii="ＭＳ 明朝" w:hAnsi="ＭＳ 明朝" w:hint="eastAsia"/>
          <w:color w:val="auto"/>
        </w:rPr>
        <w:t>県又は</w:t>
      </w:r>
      <w:r w:rsidR="006F6B62" w:rsidRPr="005576BB">
        <w:rPr>
          <w:rFonts w:ascii="ＭＳ 明朝" w:hAnsi="ＭＳ 明朝" w:hint="eastAsia"/>
          <w:color w:val="auto"/>
        </w:rPr>
        <w:t>県が指定した法人が実施する調査員養成研修を受講しているものであること。</w:t>
      </w:r>
      <w:r w:rsidR="00C02139" w:rsidRPr="005576BB">
        <w:rPr>
          <w:rFonts w:ascii="ＭＳ 明朝" w:hAnsi="ＭＳ 明朝" w:hint="eastAsia"/>
          <w:color w:val="auto"/>
        </w:rPr>
        <w:t>また、旧要領に基づく調査員養成研修の修了者については、県又は県が指定する法人が実施するフォローアップ研修を原則として受講し、修了した者であること。</w:t>
      </w:r>
    </w:p>
    <w:p w:rsidR="006F6B62" w:rsidRPr="005576BB" w:rsidRDefault="00E74BE8" w:rsidP="006F6B62">
      <w:pPr>
        <w:adjustRightInd/>
        <w:ind w:left="724" w:firstLine="242"/>
        <w:rPr>
          <w:rFonts w:ascii="ＭＳ 明朝" w:hAnsi="ＭＳ 明朝" w:hint="eastAsia"/>
          <w:color w:val="auto"/>
        </w:rPr>
      </w:pPr>
      <w:r w:rsidRPr="005576BB">
        <w:rPr>
          <w:rFonts w:ascii="ＭＳ 明朝" w:hAnsi="ＭＳ 明朝" w:hint="eastAsia"/>
          <w:color w:val="auto"/>
        </w:rPr>
        <w:t>ただし、他の都道府県又は指定する法人において実施された調査員養成</w:t>
      </w:r>
      <w:r w:rsidR="0010717C" w:rsidRPr="005576BB">
        <w:rPr>
          <w:rFonts w:ascii="ＭＳ 明朝" w:hAnsi="ＭＳ 明朝" w:hint="eastAsia"/>
          <w:color w:val="auto"/>
        </w:rPr>
        <w:t>等</w:t>
      </w:r>
      <w:r w:rsidRPr="005576BB">
        <w:rPr>
          <w:rFonts w:ascii="ＭＳ 明朝" w:hAnsi="ＭＳ 明朝" w:hint="eastAsia"/>
          <w:color w:val="auto"/>
        </w:rPr>
        <w:t>研修又は関連の研修（認知症介護実践研修（旧実務者研修を含む）、介護相談員養成研修等）を既に修了した者にあっては、カリキュラムの全部又は一部が重複している場合には、当該部分を受講していなくてもこの条件を満たしたものとして取り扱って差し支えない。</w:t>
      </w:r>
    </w:p>
    <w:p w:rsidR="006F6B62" w:rsidRPr="005576BB" w:rsidRDefault="00DE155B" w:rsidP="006F6B62">
      <w:pPr>
        <w:adjustRightInd/>
        <w:ind w:leftChars="208" w:left="718" w:hangingChars="118" w:hanging="260"/>
        <w:rPr>
          <w:rFonts w:ascii="ＭＳ 明朝" w:cs="Times New Roman"/>
          <w:color w:val="auto"/>
        </w:rPr>
      </w:pPr>
      <w:r w:rsidRPr="005576BB">
        <w:rPr>
          <w:rFonts w:ascii="ＭＳ 明朝" w:hAnsi="ＭＳ 明朝" w:hint="eastAsia"/>
          <w:color w:val="auto"/>
        </w:rPr>
        <w:t>③</w:t>
      </w:r>
      <w:r w:rsidR="00E74BE8" w:rsidRPr="005576BB">
        <w:rPr>
          <w:rFonts w:ascii="ＭＳ 明朝" w:hAnsi="ＭＳ 明朝" w:hint="eastAsia"/>
          <w:color w:val="auto"/>
        </w:rPr>
        <w:t xml:space="preserve">　評価調査員は、第三者としての客観的な観点から評価の実務を行うに当たって、不適当と認める事由がない者であること。</w:t>
      </w:r>
    </w:p>
    <w:p w:rsidR="006F6B62" w:rsidRPr="005576BB" w:rsidRDefault="00E74BE8" w:rsidP="006F6B62">
      <w:pPr>
        <w:adjustRightInd/>
        <w:ind w:leftChars="109" w:left="240" w:firstLineChars="200" w:firstLine="440"/>
        <w:rPr>
          <w:rFonts w:ascii="ＭＳ 明朝" w:cs="Times New Roman"/>
          <w:color w:val="auto"/>
        </w:rPr>
      </w:pPr>
      <w:r w:rsidRPr="005576BB">
        <w:rPr>
          <w:rFonts w:ascii="ＭＳ 明朝" w:hAnsi="ＭＳ 明朝"/>
          <w:color w:val="auto"/>
        </w:rPr>
        <w:t>(</w:t>
      </w:r>
      <w:r w:rsidRPr="005576BB">
        <w:rPr>
          <w:rFonts w:ascii="ＭＳ 明朝" w:hAnsi="ＭＳ 明朝" w:hint="eastAsia"/>
          <w:color w:val="auto"/>
        </w:rPr>
        <w:t>不適当である例</w:t>
      </w:r>
      <w:r w:rsidRPr="005576BB">
        <w:rPr>
          <w:rFonts w:ascii="ＭＳ 明朝" w:hAnsi="ＭＳ 明朝"/>
          <w:color w:val="auto"/>
        </w:rPr>
        <w:t>)</w:t>
      </w:r>
    </w:p>
    <w:p w:rsidR="006F6B62" w:rsidRPr="005576BB" w:rsidRDefault="00E74BE8" w:rsidP="006F6B62">
      <w:pPr>
        <w:adjustRightInd/>
        <w:ind w:leftChars="426" w:left="1157" w:hangingChars="100" w:hanging="220"/>
        <w:rPr>
          <w:rFonts w:ascii="ＭＳ 明朝" w:cs="Times New Roman"/>
          <w:color w:val="auto"/>
        </w:rPr>
      </w:pPr>
      <w:r w:rsidRPr="005576BB">
        <w:rPr>
          <w:rFonts w:ascii="ＭＳ 明朝" w:hAnsi="ＭＳ 明朝" w:hint="eastAsia"/>
          <w:color w:val="auto"/>
        </w:rPr>
        <w:t>ア　認知症対応型共同生活介護事業所を</w:t>
      </w:r>
      <w:r w:rsidRPr="005576BB">
        <w:rPr>
          <w:rFonts w:ascii="ＭＳ 明朝" w:hAnsi="ＭＳ 明朝" w:hint="eastAsia"/>
          <w:color w:val="auto"/>
        </w:rPr>
        <w:t>運営している者。</w:t>
      </w:r>
    </w:p>
    <w:p w:rsidR="006F6B62" w:rsidRPr="005576BB" w:rsidRDefault="00E74BE8" w:rsidP="006F6B62">
      <w:pPr>
        <w:tabs>
          <w:tab w:val="left" w:pos="993"/>
        </w:tabs>
        <w:adjustRightInd/>
        <w:ind w:leftChars="426" w:left="1157" w:hangingChars="100" w:hanging="220"/>
        <w:rPr>
          <w:rFonts w:ascii="ＭＳ 明朝" w:cs="Times New Roman"/>
          <w:color w:val="auto"/>
        </w:rPr>
      </w:pPr>
      <w:r w:rsidRPr="005576BB">
        <w:rPr>
          <w:rFonts w:ascii="ＭＳ 明朝" w:hAnsi="ＭＳ 明朝" w:hint="eastAsia"/>
          <w:color w:val="auto"/>
        </w:rPr>
        <w:t>イ　認知症対応型共同生活介護事業所に勤務している者。</w:t>
      </w:r>
    </w:p>
    <w:p w:rsidR="006F6B62" w:rsidRPr="005576BB" w:rsidRDefault="00E74BE8" w:rsidP="006F6B62">
      <w:pPr>
        <w:adjustRightInd/>
        <w:spacing w:line="348" w:lineRule="exact"/>
        <w:ind w:leftChars="426" w:left="1157" w:hangingChars="100" w:hanging="220"/>
        <w:rPr>
          <w:rFonts w:ascii="ＭＳ 明朝" w:cs="Times New Roman"/>
          <w:strike/>
          <w:color w:val="auto"/>
        </w:rPr>
      </w:pPr>
      <w:r w:rsidRPr="005576BB">
        <w:rPr>
          <w:rFonts w:ascii="ＭＳ 明朝" w:hAnsi="ＭＳ 明朝" w:hint="eastAsia"/>
          <w:color w:val="auto"/>
        </w:rPr>
        <w:t>ウ　認知症対応型共同生活介護事業者により組織される団体の役職員。</w:t>
      </w:r>
    </w:p>
    <w:p w:rsidR="006F6B62" w:rsidRPr="005576BB" w:rsidRDefault="00E74BE8" w:rsidP="006F6B62">
      <w:pPr>
        <w:adjustRightInd/>
        <w:spacing w:line="348" w:lineRule="exact"/>
        <w:ind w:left="778" w:hanging="778"/>
        <w:rPr>
          <w:rFonts w:ascii="ＭＳ 明朝" w:cs="Times New Roman"/>
          <w:color w:val="auto"/>
        </w:rPr>
      </w:pPr>
      <w:r w:rsidRPr="005576BB">
        <w:rPr>
          <w:rFonts w:cs="Times New Roman"/>
          <w:color w:val="auto"/>
        </w:rPr>
        <w:t xml:space="preserve"> </w:t>
      </w:r>
      <w:r w:rsidRPr="005576BB">
        <w:rPr>
          <w:rFonts w:hint="eastAsia"/>
          <w:color w:val="auto"/>
        </w:rPr>
        <w:t>（３）認知症介護に関する学識経験者、認知症対応型共同生活介護事業者及び認知症高齢者等の家族の代表者等からなる評価審査委員会を設置していること。</w:t>
      </w:r>
    </w:p>
    <w:p w:rsidR="006F6B62" w:rsidRPr="005576BB" w:rsidRDefault="00E74BE8" w:rsidP="006F6B62">
      <w:pPr>
        <w:adjustRightInd/>
        <w:spacing w:line="348" w:lineRule="exact"/>
        <w:ind w:left="778" w:hanging="778"/>
        <w:rPr>
          <w:rFonts w:ascii="ＭＳ 明朝" w:cs="Times New Roman"/>
          <w:color w:val="auto"/>
        </w:rPr>
      </w:pPr>
      <w:r w:rsidRPr="005576BB">
        <w:rPr>
          <w:rFonts w:cs="Times New Roman"/>
          <w:color w:val="auto"/>
        </w:rPr>
        <w:t xml:space="preserve">       </w:t>
      </w:r>
      <w:r w:rsidRPr="005576BB">
        <w:rPr>
          <w:rFonts w:hint="eastAsia"/>
          <w:color w:val="auto"/>
        </w:rPr>
        <w:t xml:space="preserve">　評価審査委員会は、別紙３の１の第６の（３）のただし書きによる場合のほか、１年に１回を目途として定期的に開催され、評価事業について報告を受け、その内容について意見を述べ、評価事業の運営の適正化を図るものであること。</w:t>
      </w:r>
    </w:p>
    <w:p w:rsidR="006F6B62" w:rsidRPr="005576BB" w:rsidRDefault="00E74BE8" w:rsidP="006F6B62">
      <w:pPr>
        <w:adjustRightInd/>
        <w:spacing w:line="348" w:lineRule="exact"/>
        <w:ind w:left="778" w:hanging="778"/>
        <w:rPr>
          <w:rFonts w:ascii="ＭＳ 明朝" w:cs="Times New Roman"/>
          <w:color w:val="auto"/>
        </w:rPr>
      </w:pPr>
      <w:r w:rsidRPr="005576BB">
        <w:rPr>
          <w:rFonts w:cs="Times New Roman"/>
          <w:color w:val="auto"/>
        </w:rPr>
        <w:t xml:space="preserve"> </w:t>
      </w:r>
      <w:r w:rsidRPr="005576BB">
        <w:rPr>
          <w:rFonts w:hint="eastAsia"/>
          <w:color w:val="auto"/>
        </w:rPr>
        <w:t>（４）評価結果について、独立行政法人福祉医療機構が運営する「福祉保健医療情報ネットワークシステム（ＷＡＭＮＥＴ）」に掲載して公表することとしていること。また、当該手続きを行う担当者が配置されていること。</w:t>
      </w:r>
    </w:p>
    <w:p w:rsidR="006F6B62" w:rsidRPr="005576BB" w:rsidRDefault="00E74BE8" w:rsidP="00F74E10">
      <w:pPr>
        <w:adjustRightInd/>
        <w:spacing w:line="348" w:lineRule="exact"/>
        <w:ind w:left="556" w:hanging="556"/>
        <w:rPr>
          <w:rFonts w:ascii="ＭＳ 明朝" w:cs="Times New Roman" w:hint="eastAsia"/>
          <w:color w:val="auto"/>
        </w:rPr>
      </w:pPr>
      <w:r w:rsidRPr="005576BB">
        <w:rPr>
          <w:rFonts w:cs="Times New Roman"/>
          <w:color w:val="auto"/>
        </w:rPr>
        <w:t xml:space="preserve"> </w:t>
      </w:r>
      <w:r w:rsidRPr="005576BB">
        <w:rPr>
          <w:rFonts w:hint="eastAsia"/>
          <w:color w:val="auto"/>
        </w:rPr>
        <w:t>（５）次に掲げる規程等を</w:t>
      </w:r>
      <w:r w:rsidR="00F74E10" w:rsidRPr="005576BB">
        <w:rPr>
          <w:rFonts w:hint="eastAsia"/>
          <w:color w:val="auto"/>
        </w:rPr>
        <w:t>定め、それらに基づいて適切に業務が行われる体制となっていること</w:t>
      </w:r>
      <w:r w:rsidR="008F61F9" w:rsidRPr="005576BB">
        <w:rPr>
          <w:rFonts w:hint="eastAsia"/>
          <w:color w:val="auto"/>
        </w:rPr>
        <w:t>。</w:t>
      </w:r>
    </w:p>
    <w:p w:rsidR="006F6B62" w:rsidRPr="005576BB" w:rsidRDefault="00E74BE8" w:rsidP="006F6B62">
      <w:pPr>
        <w:adjustRightInd/>
        <w:spacing w:line="348" w:lineRule="exact"/>
        <w:ind w:left="778" w:hanging="778"/>
        <w:rPr>
          <w:rFonts w:ascii="ＭＳ 明朝" w:cs="Times New Roman"/>
          <w:color w:val="auto"/>
        </w:rPr>
      </w:pPr>
      <w:r w:rsidRPr="005576BB">
        <w:rPr>
          <w:rFonts w:cs="Times New Roman"/>
          <w:color w:val="auto"/>
        </w:rPr>
        <w:t xml:space="preserve">     </w:t>
      </w:r>
      <w:r w:rsidRPr="005576BB">
        <w:rPr>
          <w:rFonts w:hint="eastAsia"/>
          <w:color w:val="auto"/>
        </w:rPr>
        <w:t>ア　評価依頼の受付、評価手続、評価審査委員会の手続、ＷＡＭＮＥＴによる情報公開等を盛り込んだ外部評価実施要領（別紙３の１参照）</w:t>
      </w:r>
    </w:p>
    <w:p w:rsidR="006F6B62" w:rsidRPr="005576BB" w:rsidRDefault="00E74BE8" w:rsidP="006F6B62">
      <w:pPr>
        <w:adjustRightInd/>
        <w:spacing w:line="348" w:lineRule="exact"/>
        <w:ind w:left="778" w:hanging="778"/>
        <w:rPr>
          <w:rFonts w:ascii="ＭＳ 明朝" w:cs="Times New Roman"/>
          <w:color w:val="auto"/>
        </w:rPr>
      </w:pPr>
      <w:r w:rsidRPr="005576BB">
        <w:rPr>
          <w:rFonts w:cs="Times New Roman"/>
          <w:color w:val="auto"/>
        </w:rPr>
        <w:t xml:space="preserve">     </w:t>
      </w:r>
      <w:r w:rsidRPr="005576BB">
        <w:rPr>
          <w:rFonts w:hint="eastAsia"/>
          <w:color w:val="auto"/>
        </w:rPr>
        <w:t>イ　外部評価の実施に関し、評価を受けようとする事業所との間で締結</w:t>
      </w:r>
      <w:r w:rsidRPr="005576BB">
        <w:rPr>
          <w:rFonts w:hint="eastAsia"/>
          <w:color w:val="auto"/>
        </w:rPr>
        <w:t>する契約</w:t>
      </w:r>
      <w:r w:rsidRPr="005576BB">
        <w:rPr>
          <w:rFonts w:hint="eastAsia"/>
          <w:color w:val="auto"/>
        </w:rPr>
        <w:lastRenderedPageBreak/>
        <w:t>書の参考例（別紙３の２参照）</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Pr="005576BB">
        <w:rPr>
          <w:rFonts w:hint="eastAsia"/>
          <w:color w:val="auto"/>
        </w:rPr>
        <w:t xml:space="preserve">　ウ　その他県において定める書類</w:t>
      </w:r>
    </w:p>
    <w:p w:rsidR="006F6B62" w:rsidRPr="005576BB" w:rsidRDefault="00E74BE8" w:rsidP="006F6B62">
      <w:pPr>
        <w:adjustRightInd/>
        <w:spacing w:line="348" w:lineRule="exact"/>
        <w:ind w:left="556" w:hanging="556"/>
        <w:rPr>
          <w:color w:val="auto"/>
        </w:rPr>
      </w:pPr>
      <w:r w:rsidRPr="005576BB">
        <w:rPr>
          <w:rFonts w:cs="Times New Roman"/>
          <w:color w:val="auto"/>
        </w:rPr>
        <w:t xml:space="preserve"> </w:t>
      </w:r>
      <w:r w:rsidRPr="005576BB">
        <w:rPr>
          <w:rFonts w:hint="eastAsia"/>
          <w:color w:val="auto"/>
        </w:rPr>
        <w:t>（６）公正中立な立場で外部評価を実施することが困難な状況があるなど、</w:t>
      </w:r>
      <w:r w:rsidR="00F74E10" w:rsidRPr="005576BB">
        <w:rPr>
          <w:rFonts w:hint="eastAsia"/>
          <w:color w:val="auto"/>
        </w:rPr>
        <w:t>県</w:t>
      </w:r>
      <w:r w:rsidRPr="005576BB">
        <w:rPr>
          <w:rFonts w:hint="eastAsia"/>
          <w:color w:val="auto"/>
        </w:rPr>
        <w:t>において、当該法人に外部評価を行わせることが不適当と認める事由がないこと。</w:t>
      </w:r>
    </w:p>
    <w:p w:rsidR="006F6B62" w:rsidRPr="005576BB" w:rsidRDefault="00E74BE8" w:rsidP="006F6B62">
      <w:pPr>
        <w:adjustRightInd/>
        <w:spacing w:line="348" w:lineRule="exact"/>
        <w:ind w:left="556" w:hanging="556"/>
        <w:rPr>
          <w:rFonts w:ascii="ＭＳ 明朝" w:cs="Times New Roman"/>
          <w:color w:val="auto"/>
        </w:rPr>
      </w:pPr>
      <w:r w:rsidRPr="005576BB">
        <w:rPr>
          <w:rFonts w:ascii="ＭＳ 明朝" w:cs="Times New Roman" w:hint="eastAsia"/>
          <w:color w:val="auto"/>
        </w:rPr>
        <w:t xml:space="preserve">　（不適当である例）</w:t>
      </w:r>
    </w:p>
    <w:p w:rsidR="006F6B62" w:rsidRPr="005576BB" w:rsidRDefault="00E74BE8" w:rsidP="006F6B62">
      <w:pPr>
        <w:adjustRightInd/>
        <w:spacing w:line="348" w:lineRule="exact"/>
        <w:ind w:left="777" w:hanging="777"/>
        <w:rPr>
          <w:rFonts w:ascii="ＭＳ 明朝" w:cs="Times New Roman"/>
          <w:color w:val="auto"/>
        </w:rPr>
      </w:pPr>
      <w:r w:rsidRPr="005576BB">
        <w:rPr>
          <w:rFonts w:cs="Times New Roman"/>
          <w:color w:val="auto"/>
        </w:rPr>
        <w:t xml:space="preserve">     </w:t>
      </w:r>
      <w:r w:rsidRPr="005576BB">
        <w:rPr>
          <w:rFonts w:hint="eastAsia"/>
          <w:color w:val="auto"/>
        </w:rPr>
        <w:t>ア　当該法人が自ら認知症対応型共同生活介護事業所を設置・運営しているとき。</w:t>
      </w:r>
    </w:p>
    <w:p w:rsidR="006F6B62" w:rsidRPr="005576BB" w:rsidRDefault="00E74BE8" w:rsidP="006F6B62">
      <w:pPr>
        <w:adjustRightInd/>
        <w:spacing w:line="348" w:lineRule="exact"/>
        <w:ind w:left="778" w:hanging="778"/>
        <w:rPr>
          <w:rFonts w:ascii="ＭＳ 明朝" w:cs="Times New Roman"/>
          <w:color w:val="auto"/>
        </w:rPr>
      </w:pPr>
      <w:r w:rsidRPr="005576BB">
        <w:rPr>
          <w:rFonts w:cs="Times New Roman"/>
          <w:color w:val="auto"/>
        </w:rPr>
        <w:t xml:space="preserve">   </w:t>
      </w:r>
      <w:r w:rsidRPr="005576BB">
        <w:rPr>
          <w:rFonts w:hint="eastAsia"/>
          <w:color w:val="auto"/>
        </w:rPr>
        <w:t xml:space="preserve">　イ　当該法人の理事会等の構成員の多数が、認知症対応型共同生活介護事業者又は従業者によって占められているとき。</w:t>
      </w:r>
    </w:p>
    <w:p w:rsidR="006F6B62" w:rsidRPr="005576BB" w:rsidRDefault="00E74BE8" w:rsidP="006F6B62">
      <w:pPr>
        <w:adjustRightInd/>
        <w:spacing w:line="348" w:lineRule="exact"/>
        <w:ind w:left="778" w:hanging="778"/>
        <w:rPr>
          <w:rFonts w:ascii="ＭＳ 明朝" w:cs="Times New Roman"/>
          <w:color w:val="auto"/>
        </w:rPr>
      </w:pPr>
      <w:r w:rsidRPr="005576BB">
        <w:rPr>
          <w:rFonts w:cs="Times New Roman"/>
          <w:color w:val="auto"/>
        </w:rPr>
        <w:t xml:space="preserve">   </w:t>
      </w:r>
      <w:r w:rsidRPr="005576BB">
        <w:rPr>
          <w:rFonts w:hint="eastAsia"/>
          <w:color w:val="auto"/>
        </w:rPr>
        <w:t xml:space="preserve">　ウ　外部評価を行う上で十分な資金計画が立てられていな</w:t>
      </w:r>
      <w:r w:rsidRPr="005576BB">
        <w:rPr>
          <w:rFonts w:hint="eastAsia"/>
          <w:color w:val="auto"/>
        </w:rPr>
        <w:t>いなど、安定的な事業運営の可能性に疑義があるとき。</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Pr="005576BB">
        <w:rPr>
          <w:rFonts w:hint="eastAsia"/>
          <w:color w:val="auto"/>
        </w:rPr>
        <w:t xml:space="preserve">　エ　その他外部評価の実施を円滑に進める上で適当でないと認められるとき。</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Pr="005576BB">
        <w:rPr>
          <w:rFonts w:hint="eastAsia"/>
          <w:color w:val="auto"/>
        </w:rPr>
        <w:t>第</w:t>
      </w:r>
      <w:r w:rsidR="00DD52F6" w:rsidRPr="005576BB">
        <w:rPr>
          <w:rFonts w:hint="eastAsia"/>
          <w:color w:val="auto"/>
        </w:rPr>
        <w:t>２</w:t>
      </w:r>
      <w:r w:rsidRPr="005576BB">
        <w:rPr>
          <w:rFonts w:hint="eastAsia"/>
          <w:color w:val="auto"/>
        </w:rPr>
        <w:t xml:space="preserve">　評価機関の選定手続等</w:t>
      </w:r>
    </w:p>
    <w:p w:rsidR="006F6B62" w:rsidRPr="005576BB" w:rsidRDefault="00E74BE8" w:rsidP="006F6B62">
      <w:pPr>
        <w:adjustRightInd/>
        <w:spacing w:line="348" w:lineRule="exact"/>
        <w:ind w:left="556" w:hanging="556"/>
        <w:rPr>
          <w:rFonts w:ascii="ＭＳ 明朝" w:cs="Times New Roman"/>
          <w:color w:val="auto"/>
        </w:rPr>
      </w:pPr>
      <w:r w:rsidRPr="005576BB">
        <w:rPr>
          <w:rFonts w:cs="Times New Roman"/>
          <w:color w:val="auto"/>
        </w:rPr>
        <w:t xml:space="preserve"> </w:t>
      </w:r>
      <w:r w:rsidRPr="005576BB">
        <w:rPr>
          <w:rFonts w:hint="eastAsia"/>
          <w:color w:val="auto"/>
        </w:rPr>
        <w:t>（１）評価機関として選定を受けようとする法人は、県に次の書類を提出し、審査を受けるものとする。</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Pr="005576BB">
        <w:rPr>
          <w:rFonts w:hint="eastAsia"/>
          <w:color w:val="auto"/>
        </w:rPr>
        <w:t>①　評価機関選定申請書（様式第１号）</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Pr="005576BB">
        <w:rPr>
          <w:rFonts w:hint="eastAsia"/>
          <w:color w:val="auto"/>
        </w:rPr>
        <w:t xml:space="preserve">　②　法人の定款、寄附行為等及び法人登記簿の謄本</w:t>
      </w:r>
    </w:p>
    <w:p w:rsidR="006F6B62" w:rsidRPr="005576BB" w:rsidRDefault="00E74BE8" w:rsidP="006F6B62">
      <w:pPr>
        <w:adjustRightInd/>
        <w:spacing w:line="348" w:lineRule="exact"/>
        <w:ind w:left="778" w:hanging="778"/>
        <w:rPr>
          <w:rFonts w:ascii="ＭＳ 明朝" w:cs="Times New Roman"/>
          <w:strike/>
          <w:color w:val="auto"/>
        </w:rPr>
      </w:pPr>
      <w:r w:rsidRPr="005576BB">
        <w:rPr>
          <w:rFonts w:cs="Times New Roman"/>
          <w:color w:val="auto"/>
        </w:rPr>
        <w:t xml:space="preserve">   </w:t>
      </w:r>
      <w:r w:rsidRPr="005576BB">
        <w:rPr>
          <w:rFonts w:hint="eastAsia"/>
          <w:color w:val="auto"/>
        </w:rPr>
        <w:t xml:space="preserve">　③　評価調査員の名簿、各評価調査員の経歴書</w:t>
      </w:r>
      <w:r w:rsidR="00CD54AB" w:rsidRPr="005576BB">
        <w:rPr>
          <w:rFonts w:hint="eastAsia"/>
          <w:color w:val="auto"/>
        </w:rPr>
        <w:t>及び評価調査員養成</w:t>
      </w:r>
      <w:r w:rsidR="00931CBB" w:rsidRPr="005576BB">
        <w:rPr>
          <w:rFonts w:hint="eastAsia"/>
          <w:color w:val="auto"/>
        </w:rPr>
        <w:t>等</w:t>
      </w:r>
      <w:r w:rsidR="00CD54AB" w:rsidRPr="005576BB">
        <w:rPr>
          <w:rFonts w:hint="eastAsia"/>
          <w:color w:val="auto"/>
        </w:rPr>
        <w:t>研修</w:t>
      </w:r>
      <w:r w:rsidR="00931CBB" w:rsidRPr="005576BB">
        <w:rPr>
          <w:rFonts w:hint="eastAsia"/>
          <w:color w:val="auto"/>
        </w:rPr>
        <w:t>修了</w:t>
      </w:r>
      <w:r w:rsidR="00CD54AB" w:rsidRPr="005576BB">
        <w:rPr>
          <w:rFonts w:hint="eastAsia"/>
          <w:color w:val="auto"/>
        </w:rPr>
        <w:t>書の写し</w:t>
      </w:r>
      <w:r w:rsidRPr="005576BB">
        <w:rPr>
          <w:rFonts w:hint="eastAsia"/>
          <w:color w:val="auto"/>
        </w:rPr>
        <w:t>。ただし、評価機関の選定を受けようとする際に、今後</w:t>
      </w:r>
      <w:r w:rsidR="00931CBB" w:rsidRPr="005576BB">
        <w:rPr>
          <w:rFonts w:hint="eastAsia"/>
          <w:color w:val="auto"/>
        </w:rPr>
        <w:t>受講する</w:t>
      </w:r>
      <w:r w:rsidRPr="005576BB">
        <w:rPr>
          <w:rFonts w:hint="eastAsia"/>
          <w:color w:val="auto"/>
        </w:rPr>
        <w:t>評価調査員の養成研修により評価調査員を確保する場合は、今後の養成に係る計画書</w:t>
      </w:r>
    </w:p>
    <w:p w:rsidR="006F6B62" w:rsidRPr="005576BB" w:rsidRDefault="00E74BE8" w:rsidP="006F6B62">
      <w:pPr>
        <w:numPr>
          <w:ilvl w:val="0"/>
          <w:numId w:val="1"/>
        </w:numPr>
        <w:adjustRightInd/>
        <w:spacing w:line="348" w:lineRule="exact"/>
        <w:rPr>
          <w:color w:val="auto"/>
        </w:rPr>
      </w:pPr>
      <w:r w:rsidRPr="005576BB">
        <w:rPr>
          <w:rFonts w:hint="eastAsia"/>
          <w:color w:val="auto"/>
        </w:rPr>
        <w:t>評価審査委員会の委員名簿、経歴書及び各委員の就任承諾書の写し</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Pr="005576BB">
        <w:rPr>
          <w:rFonts w:hint="eastAsia"/>
          <w:color w:val="auto"/>
        </w:rPr>
        <w:t xml:space="preserve">　</w:t>
      </w:r>
      <w:r w:rsidR="00F74E10" w:rsidRPr="005576BB">
        <w:rPr>
          <w:rFonts w:hint="eastAsia"/>
          <w:color w:val="auto"/>
        </w:rPr>
        <w:t>⑤</w:t>
      </w:r>
      <w:r w:rsidRPr="005576BB">
        <w:rPr>
          <w:rFonts w:hint="eastAsia"/>
          <w:color w:val="auto"/>
        </w:rPr>
        <w:t xml:space="preserve">　委員が団体等の職員である場合は、所属長の就任承認書の写し</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00F74E10" w:rsidRPr="005576BB">
        <w:rPr>
          <w:rFonts w:hint="eastAsia"/>
          <w:color w:val="auto"/>
        </w:rPr>
        <w:t xml:space="preserve">　⑥</w:t>
      </w:r>
      <w:r w:rsidRPr="005576BB">
        <w:rPr>
          <w:rFonts w:hint="eastAsia"/>
          <w:color w:val="auto"/>
        </w:rPr>
        <w:t xml:space="preserve">　評価手数料及びその算定根拠を記した書類</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00F74E10" w:rsidRPr="005576BB">
        <w:rPr>
          <w:rFonts w:hint="eastAsia"/>
          <w:color w:val="auto"/>
        </w:rPr>
        <w:t xml:space="preserve">　</w:t>
      </w:r>
      <w:r w:rsidR="000D3138" w:rsidRPr="005576BB">
        <w:rPr>
          <w:rFonts w:hint="eastAsia"/>
          <w:color w:val="auto"/>
        </w:rPr>
        <w:t>⑦</w:t>
      </w:r>
      <w:r w:rsidRPr="005576BB">
        <w:rPr>
          <w:rFonts w:hint="eastAsia"/>
          <w:color w:val="auto"/>
        </w:rPr>
        <w:t xml:space="preserve">　当該年度の事業計画書、収支予算書</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000D3138" w:rsidRPr="005576BB">
        <w:rPr>
          <w:rFonts w:hint="eastAsia"/>
          <w:color w:val="auto"/>
        </w:rPr>
        <w:t xml:space="preserve">　⑧</w:t>
      </w:r>
      <w:r w:rsidRPr="005576BB">
        <w:rPr>
          <w:rFonts w:hint="eastAsia"/>
          <w:color w:val="auto"/>
        </w:rPr>
        <w:t xml:space="preserve">　</w:t>
      </w:r>
      <w:r w:rsidR="00F82B89" w:rsidRPr="005576BB">
        <w:rPr>
          <w:rFonts w:hint="eastAsia"/>
          <w:color w:val="auto"/>
        </w:rPr>
        <w:t>外部評価業務</w:t>
      </w:r>
      <w:r w:rsidRPr="005576BB">
        <w:rPr>
          <w:rFonts w:hint="eastAsia"/>
          <w:color w:val="auto"/>
        </w:rPr>
        <w:t>実施要領</w:t>
      </w:r>
    </w:p>
    <w:p w:rsidR="006F6B62" w:rsidRPr="005576BB" w:rsidRDefault="00E74BE8" w:rsidP="006F6B62">
      <w:pPr>
        <w:adjustRightInd/>
        <w:spacing w:line="348" w:lineRule="exact"/>
        <w:ind w:left="778" w:hanging="778"/>
        <w:rPr>
          <w:rFonts w:ascii="ＭＳ 明朝" w:cs="Times New Roman"/>
          <w:color w:val="auto"/>
        </w:rPr>
      </w:pPr>
      <w:r w:rsidRPr="005576BB">
        <w:rPr>
          <w:rFonts w:cs="Times New Roman"/>
          <w:color w:val="auto"/>
        </w:rPr>
        <w:t xml:space="preserve">   </w:t>
      </w:r>
      <w:r w:rsidR="000D3138" w:rsidRPr="005576BB">
        <w:rPr>
          <w:rFonts w:hint="eastAsia"/>
          <w:color w:val="auto"/>
        </w:rPr>
        <w:t xml:space="preserve">　⑨</w:t>
      </w:r>
      <w:r w:rsidRPr="005576BB">
        <w:rPr>
          <w:rFonts w:hint="eastAsia"/>
          <w:color w:val="auto"/>
        </w:rPr>
        <w:t xml:space="preserve">　認知症対応型共同生活介護事業所との間で締結する業務委託契約書様式</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000D3138" w:rsidRPr="005576BB">
        <w:rPr>
          <w:rFonts w:hint="eastAsia"/>
          <w:color w:val="auto"/>
        </w:rPr>
        <w:t xml:space="preserve">　⑩</w:t>
      </w:r>
      <w:r w:rsidRPr="005576BB">
        <w:rPr>
          <w:rFonts w:hint="eastAsia"/>
          <w:color w:val="auto"/>
        </w:rPr>
        <w:t xml:space="preserve">　その他必要と認める書類</w:t>
      </w:r>
    </w:p>
    <w:p w:rsidR="006F6B62" w:rsidRPr="005576BB" w:rsidRDefault="00E74BE8" w:rsidP="006F6B62">
      <w:pPr>
        <w:adjustRightInd/>
        <w:spacing w:line="348" w:lineRule="exact"/>
        <w:ind w:left="556" w:hanging="556"/>
        <w:rPr>
          <w:rFonts w:ascii="ＭＳ 明朝" w:cs="Times New Roman"/>
          <w:color w:val="auto"/>
        </w:rPr>
      </w:pPr>
      <w:r w:rsidRPr="005576BB">
        <w:rPr>
          <w:rFonts w:cs="Times New Roman"/>
          <w:color w:val="auto"/>
        </w:rPr>
        <w:t xml:space="preserve"> </w:t>
      </w:r>
      <w:r w:rsidRPr="005576BB">
        <w:rPr>
          <w:rFonts w:hint="eastAsia"/>
          <w:color w:val="auto"/>
        </w:rPr>
        <w:t>（２）県は、審査の結果、申請のあった法人が評価機関と</w:t>
      </w:r>
      <w:r w:rsidRPr="005576BB">
        <w:rPr>
          <w:rFonts w:hint="eastAsia"/>
          <w:color w:val="auto"/>
        </w:rPr>
        <w:t>して適当であると認める場合には、評価機関を選定し、当該評価機関に対して評価機関選定書（様式第２号）により通知するものとする。</w:t>
      </w:r>
    </w:p>
    <w:p w:rsidR="006F6B62" w:rsidRPr="005576BB" w:rsidRDefault="00E74BE8" w:rsidP="006F6B62">
      <w:pPr>
        <w:adjustRightInd/>
        <w:spacing w:line="348" w:lineRule="exact"/>
        <w:ind w:left="556" w:hanging="556"/>
        <w:rPr>
          <w:rFonts w:ascii="ＭＳ 明朝" w:cs="Times New Roman"/>
          <w:color w:val="auto"/>
        </w:rPr>
      </w:pPr>
      <w:r w:rsidRPr="005576BB">
        <w:rPr>
          <w:rFonts w:cs="Times New Roman"/>
          <w:color w:val="auto"/>
        </w:rPr>
        <w:t xml:space="preserve"> </w:t>
      </w:r>
      <w:r w:rsidRPr="005576BB">
        <w:rPr>
          <w:rFonts w:hint="eastAsia"/>
          <w:color w:val="auto"/>
        </w:rPr>
        <w:t>（３）県は、評価機関を選定したときは、当該機関の名称、連絡先、評価手数料、評価調査員の数、選定年月日等の情報を県内の事業所に通知するものとする。</w:t>
      </w:r>
    </w:p>
    <w:p w:rsidR="006F6B62" w:rsidRPr="005576BB" w:rsidRDefault="00E74BE8" w:rsidP="006F6B62">
      <w:pPr>
        <w:adjustRightInd/>
        <w:spacing w:line="348" w:lineRule="exact"/>
        <w:ind w:left="556" w:hanging="556"/>
        <w:rPr>
          <w:rFonts w:ascii="ＭＳ 明朝" w:cs="Times New Roman"/>
          <w:color w:val="auto"/>
        </w:rPr>
      </w:pPr>
      <w:r w:rsidRPr="005576BB">
        <w:rPr>
          <w:rFonts w:cs="Times New Roman"/>
          <w:color w:val="auto"/>
        </w:rPr>
        <w:t xml:space="preserve">     </w:t>
      </w:r>
      <w:r w:rsidRPr="005576BB">
        <w:rPr>
          <w:rFonts w:hint="eastAsia"/>
          <w:color w:val="auto"/>
        </w:rPr>
        <w:t xml:space="preserve">　なお、各事業所による評価機関の選択等に資するため、通知した内容についてホームページ等を活用し、広く情報提供するものとする。</w:t>
      </w:r>
    </w:p>
    <w:p w:rsidR="006F6B62" w:rsidRPr="005576BB" w:rsidRDefault="00E74BE8" w:rsidP="00C47003">
      <w:pPr>
        <w:spacing w:line="348" w:lineRule="exact"/>
        <w:ind w:left="556" w:hanging="556"/>
        <w:rPr>
          <w:rFonts w:ascii="ＭＳ 明朝" w:cs="Times New Roman"/>
          <w:strike/>
          <w:color w:val="auto"/>
        </w:rPr>
      </w:pPr>
      <w:r w:rsidRPr="005576BB">
        <w:rPr>
          <w:rFonts w:cs="Times New Roman"/>
          <w:color w:val="auto"/>
        </w:rPr>
        <w:t xml:space="preserve"> </w:t>
      </w:r>
      <w:r w:rsidRPr="005576BB">
        <w:rPr>
          <w:rFonts w:hint="eastAsia"/>
          <w:color w:val="auto"/>
        </w:rPr>
        <w:t>（４）</w:t>
      </w:r>
      <w:r w:rsidR="00DD52F6" w:rsidRPr="005576BB">
        <w:rPr>
          <w:rFonts w:hint="eastAsia"/>
          <w:color w:val="auto"/>
        </w:rPr>
        <w:t>既に評価</w:t>
      </w:r>
      <w:r w:rsidR="00726881" w:rsidRPr="005576BB">
        <w:rPr>
          <w:rFonts w:hint="eastAsia"/>
          <w:color w:val="auto"/>
        </w:rPr>
        <w:t>事業</w:t>
      </w:r>
      <w:r w:rsidR="00DD52F6" w:rsidRPr="005576BB">
        <w:rPr>
          <w:rFonts w:hint="eastAsia"/>
          <w:color w:val="auto"/>
        </w:rPr>
        <w:t>の選定を受けた</w:t>
      </w:r>
      <w:r w:rsidRPr="005576BB">
        <w:rPr>
          <w:rFonts w:hint="eastAsia"/>
          <w:color w:val="auto"/>
        </w:rPr>
        <w:t>評価機関</w:t>
      </w:r>
      <w:r w:rsidR="00DD52F6" w:rsidRPr="005576BB">
        <w:rPr>
          <w:rFonts w:hint="eastAsia"/>
          <w:color w:val="auto"/>
        </w:rPr>
        <w:t>（以下「</w:t>
      </w:r>
      <w:r w:rsidR="00782B89" w:rsidRPr="005576BB">
        <w:rPr>
          <w:rFonts w:hint="eastAsia"/>
          <w:color w:val="auto"/>
        </w:rPr>
        <w:t>選定</w:t>
      </w:r>
      <w:r w:rsidR="00F9021C" w:rsidRPr="005576BB">
        <w:rPr>
          <w:rFonts w:hint="eastAsia"/>
          <w:color w:val="auto"/>
        </w:rPr>
        <w:t>評価機関」という。）が、当該業務</w:t>
      </w:r>
      <w:r w:rsidR="00DD52F6" w:rsidRPr="005576BB">
        <w:rPr>
          <w:rFonts w:hint="eastAsia"/>
          <w:color w:val="auto"/>
        </w:rPr>
        <w:t>を行おうとする場合は、</w:t>
      </w:r>
      <w:r w:rsidR="00F9021C" w:rsidRPr="005576BB">
        <w:rPr>
          <w:rFonts w:hint="eastAsia"/>
          <w:color w:val="auto"/>
        </w:rPr>
        <w:t>業務</w:t>
      </w:r>
      <w:r w:rsidR="00DD52F6" w:rsidRPr="005576BB">
        <w:rPr>
          <w:rFonts w:hint="eastAsia"/>
          <w:color w:val="auto"/>
        </w:rPr>
        <w:t>を開始する１ヶ月前までに</w:t>
      </w:r>
      <w:r w:rsidRPr="005576BB">
        <w:rPr>
          <w:rFonts w:hint="eastAsia"/>
          <w:color w:val="auto"/>
        </w:rPr>
        <w:t>評価</w:t>
      </w:r>
      <w:r w:rsidR="00C07F05" w:rsidRPr="005576BB">
        <w:rPr>
          <w:rFonts w:hint="eastAsia"/>
          <w:color w:val="auto"/>
        </w:rPr>
        <w:t>事業</w:t>
      </w:r>
      <w:r w:rsidR="007C2C37" w:rsidRPr="005576BB">
        <w:rPr>
          <w:rFonts w:hint="eastAsia"/>
          <w:color w:val="auto"/>
        </w:rPr>
        <w:t>実施計画書</w:t>
      </w:r>
      <w:r w:rsidRPr="005576BB">
        <w:rPr>
          <w:rFonts w:hint="eastAsia"/>
          <w:color w:val="auto"/>
        </w:rPr>
        <w:t>（様式第３号）に、第</w:t>
      </w:r>
      <w:r w:rsidR="007F65DE" w:rsidRPr="005576BB">
        <w:rPr>
          <w:rFonts w:hint="eastAsia"/>
          <w:color w:val="auto"/>
        </w:rPr>
        <w:t>２</w:t>
      </w:r>
      <w:r w:rsidRPr="005576BB">
        <w:rPr>
          <w:rFonts w:hint="eastAsia"/>
          <w:color w:val="auto"/>
        </w:rPr>
        <w:t>の（１）の</w:t>
      </w:r>
      <w:r w:rsidR="00C47003" w:rsidRPr="005576BB">
        <w:rPr>
          <w:rFonts w:hint="eastAsia"/>
          <w:color w:val="auto"/>
        </w:rPr>
        <w:t>③、</w:t>
      </w:r>
      <w:r w:rsidR="000D3138" w:rsidRPr="005576BB">
        <w:rPr>
          <w:rFonts w:hint="eastAsia"/>
          <w:color w:val="auto"/>
        </w:rPr>
        <w:t>⑦</w:t>
      </w:r>
      <w:r w:rsidR="00C47003" w:rsidRPr="005576BB">
        <w:rPr>
          <w:rFonts w:hint="eastAsia"/>
          <w:color w:val="auto"/>
        </w:rPr>
        <w:t>及び</w:t>
      </w:r>
      <w:r w:rsidR="000D3138" w:rsidRPr="005576BB">
        <w:rPr>
          <w:rFonts w:hint="eastAsia"/>
          <w:color w:val="auto"/>
        </w:rPr>
        <w:t>⑩</w:t>
      </w:r>
      <w:r w:rsidRPr="005576BB">
        <w:rPr>
          <w:rFonts w:hint="eastAsia"/>
          <w:color w:val="auto"/>
        </w:rPr>
        <w:t>に掲げる書類を添付して提</w:t>
      </w:r>
      <w:r w:rsidRPr="005576BB">
        <w:rPr>
          <w:rFonts w:hint="eastAsia"/>
          <w:color w:val="auto"/>
        </w:rPr>
        <w:lastRenderedPageBreak/>
        <w:t>出し</w:t>
      </w:r>
      <w:r w:rsidR="00C47003" w:rsidRPr="005576BB">
        <w:rPr>
          <w:rFonts w:hint="eastAsia"/>
          <w:color w:val="auto"/>
        </w:rPr>
        <w:t>なければならない。</w:t>
      </w:r>
    </w:p>
    <w:p w:rsidR="006F6B62" w:rsidRPr="005576BB" w:rsidRDefault="00E74BE8" w:rsidP="006F6B62">
      <w:pPr>
        <w:adjustRightInd/>
        <w:spacing w:line="348" w:lineRule="exact"/>
        <w:ind w:left="556" w:hanging="556"/>
        <w:rPr>
          <w:rFonts w:ascii="ＭＳ 明朝" w:cs="Times New Roman"/>
          <w:color w:val="auto"/>
        </w:rPr>
      </w:pPr>
      <w:r w:rsidRPr="005576BB">
        <w:rPr>
          <w:rFonts w:cs="Times New Roman"/>
          <w:color w:val="auto"/>
        </w:rPr>
        <w:t xml:space="preserve"> </w:t>
      </w:r>
      <w:r w:rsidRPr="005576BB">
        <w:rPr>
          <w:rFonts w:hint="eastAsia"/>
          <w:color w:val="auto"/>
        </w:rPr>
        <w:t>（５）</w:t>
      </w:r>
      <w:r w:rsidR="00782B89" w:rsidRPr="005576BB">
        <w:rPr>
          <w:rFonts w:hint="eastAsia"/>
          <w:color w:val="auto"/>
        </w:rPr>
        <w:t>選定</w:t>
      </w:r>
      <w:r w:rsidRPr="005576BB">
        <w:rPr>
          <w:rFonts w:hint="eastAsia"/>
          <w:color w:val="auto"/>
        </w:rPr>
        <w:t>評価機関は、選定を受けた後に第</w:t>
      </w:r>
      <w:r w:rsidR="00DD52F6" w:rsidRPr="005576BB">
        <w:rPr>
          <w:rFonts w:hint="eastAsia"/>
          <w:color w:val="auto"/>
        </w:rPr>
        <w:t>２</w:t>
      </w:r>
      <w:r w:rsidRPr="005576BB">
        <w:rPr>
          <w:rFonts w:hint="eastAsia"/>
          <w:color w:val="auto"/>
        </w:rPr>
        <w:t>の（１）で規定する申請の際に提出した書類の内容に変更が生じたときは、</w:t>
      </w:r>
      <w:r w:rsidR="00782B89" w:rsidRPr="005576BB">
        <w:rPr>
          <w:rFonts w:hint="eastAsia"/>
          <w:color w:val="auto"/>
        </w:rPr>
        <w:t>選定</w:t>
      </w:r>
      <w:r w:rsidRPr="005576BB">
        <w:rPr>
          <w:rFonts w:hint="eastAsia"/>
          <w:color w:val="auto"/>
        </w:rPr>
        <w:t>評価機関変更届出書（様式第４号）により、変更後の当該書類を添付した上で、遅滞なく県に提出するものとする。</w:t>
      </w:r>
    </w:p>
    <w:p w:rsidR="006F6B62" w:rsidRPr="005576BB" w:rsidRDefault="00E74BE8" w:rsidP="006F6B62">
      <w:pPr>
        <w:adjustRightInd/>
        <w:spacing w:line="348" w:lineRule="exact"/>
        <w:ind w:left="556" w:hanging="556"/>
        <w:rPr>
          <w:rFonts w:ascii="ＭＳ 明朝" w:cs="Times New Roman"/>
          <w:color w:val="auto"/>
        </w:rPr>
      </w:pPr>
      <w:r w:rsidRPr="005576BB">
        <w:rPr>
          <w:rFonts w:cs="Times New Roman"/>
          <w:color w:val="auto"/>
        </w:rPr>
        <w:t xml:space="preserve"> </w:t>
      </w:r>
      <w:r w:rsidRPr="005576BB">
        <w:rPr>
          <w:rFonts w:hint="eastAsia"/>
          <w:color w:val="auto"/>
        </w:rPr>
        <w:t>（６）</w:t>
      </w:r>
      <w:r w:rsidR="008678B9" w:rsidRPr="005576BB">
        <w:rPr>
          <w:rFonts w:hint="eastAsia"/>
          <w:color w:val="auto"/>
        </w:rPr>
        <w:t>選定</w:t>
      </w:r>
      <w:r w:rsidRPr="005576BB">
        <w:rPr>
          <w:rFonts w:hint="eastAsia"/>
          <w:color w:val="auto"/>
        </w:rPr>
        <w:t>評価機関は、選定を受けた後に評価</w:t>
      </w:r>
      <w:r w:rsidR="00726881" w:rsidRPr="005576BB">
        <w:rPr>
          <w:rFonts w:hint="eastAsia"/>
          <w:color w:val="auto"/>
        </w:rPr>
        <w:t>事業</w:t>
      </w:r>
      <w:r w:rsidRPr="005576BB">
        <w:rPr>
          <w:rFonts w:hint="eastAsia"/>
          <w:color w:val="auto"/>
        </w:rPr>
        <w:t>を廃止しようとするときは、</w:t>
      </w:r>
      <w:r w:rsidR="00726881" w:rsidRPr="005576BB">
        <w:rPr>
          <w:rFonts w:hint="eastAsia"/>
          <w:color w:val="auto"/>
        </w:rPr>
        <w:t>事業</w:t>
      </w:r>
      <w:r w:rsidRPr="005576BB">
        <w:rPr>
          <w:rFonts w:hint="eastAsia"/>
          <w:color w:val="auto"/>
        </w:rPr>
        <w:t>を終了しようとする日の</w:t>
      </w:r>
      <w:r w:rsidR="002E56D5" w:rsidRPr="005576BB">
        <w:rPr>
          <w:rFonts w:hint="eastAsia"/>
          <w:color w:val="auto"/>
        </w:rPr>
        <w:t>３ヶ月</w:t>
      </w:r>
      <w:r w:rsidRPr="005576BB">
        <w:rPr>
          <w:rFonts w:hint="eastAsia"/>
          <w:color w:val="auto"/>
        </w:rPr>
        <w:t>前までに、</w:t>
      </w:r>
      <w:r w:rsidR="008678B9" w:rsidRPr="005576BB">
        <w:rPr>
          <w:rFonts w:hint="eastAsia"/>
          <w:color w:val="auto"/>
        </w:rPr>
        <w:t>選定</w:t>
      </w:r>
      <w:r w:rsidRPr="005576BB">
        <w:rPr>
          <w:rFonts w:hint="eastAsia"/>
          <w:color w:val="auto"/>
        </w:rPr>
        <w:t>評価機関廃止届出書（様式第</w:t>
      </w:r>
      <w:r w:rsidRPr="005576BB">
        <w:rPr>
          <w:rFonts w:hint="eastAsia"/>
          <w:color w:val="auto"/>
        </w:rPr>
        <w:t>５号）により、県に届け出るものとする。</w:t>
      </w:r>
    </w:p>
    <w:p w:rsidR="00255E4C" w:rsidRPr="005576BB" w:rsidRDefault="006F6B62" w:rsidP="00255E4C">
      <w:pPr>
        <w:adjustRightInd/>
        <w:spacing w:line="348" w:lineRule="exact"/>
        <w:rPr>
          <w:rFonts w:hint="eastAsia"/>
          <w:color w:val="auto"/>
        </w:rPr>
      </w:pPr>
      <w:r w:rsidRPr="005576BB">
        <w:rPr>
          <w:rFonts w:cs="Times New Roman"/>
          <w:color w:val="auto"/>
        </w:rPr>
        <w:t xml:space="preserve">     </w:t>
      </w:r>
      <w:r w:rsidRPr="005576BB">
        <w:rPr>
          <w:rFonts w:hint="eastAsia"/>
          <w:color w:val="auto"/>
        </w:rPr>
        <w:t xml:space="preserve">　なお、第</w:t>
      </w:r>
      <w:r w:rsidR="00DD52F6" w:rsidRPr="005576BB">
        <w:rPr>
          <w:rFonts w:hint="eastAsia"/>
          <w:color w:val="auto"/>
        </w:rPr>
        <w:t>２</w:t>
      </w:r>
      <w:r w:rsidRPr="005576BB">
        <w:rPr>
          <w:rFonts w:hint="eastAsia"/>
          <w:color w:val="auto"/>
        </w:rPr>
        <w:t>の（３）本文の規定は、廃止の届出において準用する。</w:t>
      </w:r>
    </w:p>
    <w:p w:rsidR="00255E4C" w:rsidRPr="005576BB" w:rsidRDefault="00E74BE8" w:rsidP="00255E4C">
      <w:pPr>
        <w:adjustRightInd/>
        <w:spacing w:line="348" w:lineRule="exact"/>
        <w:ind w:leftChars="50" w:left="550" w:hangingChars="200" w:hanging="440"/>
        <w:rPr>
          <w:rFonts w:hint="eastAsia"/>
          <w:color w:val="auto"/>
        </w:rPr>
      </w:pPr>
      <w:r w:rsidRPr="005576BB">
        <w:rPr>
          <w:rFonts w:hint="eastAsia"/>
          <w:color w:val="auto"/>
        </w:rPr>
        <w:t>（７）選定評価機関は、評価</w:t>
      </w:r>
      <w:r w:rsidR="00726881" w:rsidRPr="005576BB">
        <w:rPr>
          <w:rFonts w:hint="eastAsia"/>
          <w:color w:val="auto"/>
        </w:rPr>
        <w:t>事業</w:t>
      </w:r>
      <w:r w:rsidRPr="005576BB">
        <w:rPr>
          <w:rFonts w:hint="eastAsia"/>
          <w:color w:val="auto"/>
        </w:rPr>
        <w:t>終了後２ヶ月以内に、評価</w:t>
      </w:r>
      <w:r w:rsidR="009B2049" w:rsidRPr="005576BB">
        <w:rPr>
          <w:rFonts w:hint="eastAsia"/>
          <w:color w:val="auto"/>
        </w:rPr>
        <w:t>事業</w:t>
      </w:r>
      <w:r w:rsidRPr="005576BB">
        <w:rPr>
          <w:rFonts w:hint="eastAsia"/>
          <w:color w:val="auto"/>
        </w:rPr>
        <w:t>実績報告書</w:t>
      </w:r>
      <w:r w:rsidR="00BF09B7" w:rsidRPr="005576BB">
        <w:rPr>
          <w:rFonts w:hint="eastAsia"/>
          <w:color w:val="auto"/>
        </w:rPr>
        <w:t>（様式第６号）</w:t>
      </w:r>
      <w:r w:rsidRPr="005576BB">
        <w:rPr>
          <w:rFonts w:hint="eastAsia"/>
          <w:color w:val="auto"/>
        </w:rPr>
        <w:t>に前年度の</w:t>
      </w:r>
      <w:r w:rsidR="00CF4632" w:rsidRPr="005576BB">
        <w:rPr>
          <w:rFonts w:hint="eastAsia"/>
          <w:color w:val="auto"/>
        </w:rPr>
        <w:t>外部評価</w:t>
      </w:r>
      <w:r w:rsidR="00726881" w:rsidRPr="005576BB">
        <w:rPr>
          <w:rFonts w:hint="eastAsia"/>
          <w:color w:val="auto"/>
        </w:rPr>
        <w:t>業務</w:t>
      </w:r>
      <w:r w:rsidR="00CF4632" w:rsidRPr="005576BB">
        <w:rPr>
          <w:rFonts w:hint="eastAsia"/>
          <w:color w:val="auto"/>
        </w:rPr>
        <w:t>の実施件数等を記載した</w:t>
      </w:r>
      <w:r w:rsidRPr="005576BB">
        <w:rPr>
          <w:rFonts w:hint="eastAsia"/>
          <w:color w:val="auto"/>
        </w:rPr>
        <w:t>事業報告書、収支報告書その他必要と認める書類を</w:t>
      </w:r>
      <w:r w:rsidR="00A3158F" w:rsidRPr="005576BB">
        <w:rPr>
          <w:rFonts w:hint="eastAsia"/>
          <w:color w:val="auto"/>
        </w:rPr>
        <w:t>添付した上で、</w:t>
      </w:r>
      <w:r w:rsidRPr="005576BB">
        <w:rPr>
          <w:rFonts w:hint="eastAsia"/>
          <w:color w:val="auto"/>
        </w:rPr>
        <w:t>県に提出すること。</w:t>
      </w:r>
    </w:p>
    <w:p w:rsidR="006F6B62" w:rsidRPr="005576BB" w:rsidRDefault="00E74BE8" w:rsidP="006F6B62">
      <w:pPr>
        <w:adjustRightInd/>
        <w:spacing w:line="348" w:lineRule="exact"/>
        <w:ind w:left="556" w:hanging="556"/>
        <w:rPr>
          <w:rFonts w:ascii="ＭＳ 明朝" w:cs="Times New Roman"/>
          <w:color w:val="auto"/>
        </w:rPr>
      </w:pPr>
      <w:r w:rsidRPr="005576BB">
        <w:rPr>
          <w:rFonts w:cs="Times New Roman"/>
          <w:color w:val="auto"/>
        </w:rPr>
        <w:t xml:space="preserve"> </w:t>
      </w:r>
      <w:r w:rsidR="008678B9" w:rsidRPr="005576BB">
        <w:rPr>
          <w:rFonts w:hint="eastAsia"/>
          <w:color w:val="auto"/>
        </w:rPr>
        <w:t>（</w:t>
      </w:r>
      <w:r w:rsidR="00255E4C" w:rsidRPr="005576BB">
        <w:rPr>
          <w:rFonts w:hint="eastAsia"/>
          <w:color w:val="auto"/>
        </w:rPr>
        <w:t>８</w:t>
      </w:r>
      <w:r w:rsidR="008678B9" w:rsidRPr="005576BB">
        <w:rPr>
          <w:rFonts w:hint="eastAsia"/>
          <w:color w:val="auto"/>
        </w:rPr>
        <w:t>）県は、</w:t>
      </w:r>
      <w:r w:rsidR="00314796" w:rsidRPr="005576BB">
        <w:rPr>
          <w:rFonts w:hint="eastAsia"/>
          <w:color w:val="auto"/>
        </w:rPr>
        <w:t>適切に評価機関を監督指導するものとし、現に外部評価業務を行っていない場合、</w:t>
      </w:r>
      <w:r w:rsidR="008678B9" w:rsidRPr="005576BB">
        <w:rPr>
          <w:rFonts w:hint="eastAsia"/>
          <w:color w:val="auto"/>
        </w:rPr>
        <w:t>選定</w:t>
      </w:r>
      <w:r w:rsidRPr="005576BB">
        <w:rPr>
          <w:rFonts w:hint="eastAsia"/>
          <w:color w:val="auto"/>
        </w:rPr>
        <w:t>評価機関がその要件を欠くに至った場合、その他公正中立な立場で評価を行うのにふさわしくないと認められる</w:t>
      </w:r>
      <w:r w:rsidRPr="005576BB">
        <w:rPr>
          <w:rFonts w:hint="eastAsia"/>
          <w:color w:val="auto"/>
        </w:rPr>
        <w:t>状況が生じた場合には、選定を取り消すことができる。</w:t>
      </w:r>
    </w:p>
    <w:p w:rsidR="006F6B62" w:rsidRPr="005576BB" w:rsidRDefault="00E74BE8" w:rsidP="006F6B62">
      <w:pPr>
        <w:adjustRightInd/>
        <w:spacing w:line="348" w:lineRule="exact"/>
        <w:rPr>
          <w:rFonts w:ascii="ＭＳ 明朝" w:cs="Times New Roman"/>
          <w:color w:val="auto"/>
        </w:rPr>
      </w:pPr>
      <w:r w:rsidRPr="005576BB">
        <w:rPr>
          <w:rFonts w:cs="Times New Roman"/>
          <w:color w:val="auto"/>
        </w:rPr>
        <w:t xml:space="preserve">     </w:t>
      </w:r>
      <w:r w:rsidRPr="005576BB">
        <w:rPr>
          <w:rFonts w:hint="eastAsia"/>
          <w:color w:val="auto"/>
        </w:rPr>
        <w:t xml:space="preserve">　なお、この場合の手続き等については、次のとおりとする。</w:t>
      </w:r>
    </w:p>
    <w:p w:rsidR="006F6B62" w:rsidRPr="005576BB" w:rsidRDefault="00E74BE8" w:rsidP="006F6B62">
      <w:pPr>
        <w:adjustRightInd/>
        <w:spacing w:line="348" w:lineRule="exact"/>
        <w:ind w:left="778" w:hanging="778"/>
        <w:rPr>
          <w:rFonts w:ascii="ＭＳ 明朝" w:cs="Times New Roman"/>
          <w:color w:val="auto"/>
        </w:rPr>
      </w:pPr>
      <w:r w:rsidRPr="005576BB">
        <w:rPr>
          <w:rFonts w:cs="Times New Roman"/>
          <w:color w:val="auto"/>
        </w:rPr>
        <w:t xml:space="preserve">     </w:t>
      </w:r>
      <w:r w:rsidRPr="005576BB">
        <w:rPr>
          <w:rFonts w:hint="eastAsia"/>
          <w:color w:val="auto"/>
        </w:rPr>
        <w:t>①　県は、選定評価機関について</w:t>
      </w:r>
      <w:r w:rsidR="00AE7578" w:rsidRPr="005576BB">
        <w:rPr>
          <w:rFonts w:hint="eastAsia"/>
          <w:color w:val="auto"/>
        </w:rPr>
        <w:t>、</w:t>
      </w:r>
      <w:r w:rsidRPr="005576BB">
        <w:rPr>
          <w:rFonts w:hint="eastAsia"/>
          <w:color w:val="auto"/>
        </w:rPr>
        <w:t>選定の要件が具備されているかを確認するために、書類の提出を求め、</w:t>
      </w:r>
      <w:r w:rsidR="008678B9" w:rsidRPr="005576BB">
        <w:rPr>
          <w:rFonts w:hint="eastAsia"/>
          <w:color w:val="auto"/>
        </w:rPr>
        <w:t>選定</w:t>
      </w:r>
      <w:r w:rsidRPr="005576BB">
        <w:rPr>
          <w:rFonts w:hint="eastAsia"/>
          <w:color w:val="auto"/>
        </w:rPr>
        <w:t>評価機関の職員から状況を聴取し、又は必要な調査を行うことができるものとする。</w:t>
      </w:r>
    </w:p>
    <w:p w:rsidR="006F6B62" w:rsidRPr="005576BB" w:rsidRDefault="00E74BE8" w:rsidP="00DE7376">
      <w:pPr>
        <w:adjustRightInd/>
        <w:spacing w:line="348" w:lineRule="exact"/>
        <w:ind w:left="777" w:hanging="777"/>
        <w:rPr>
          <w:rFonts w:ascii="ＭＳ 明朝" w:cs="Times New Roman"/>
          <w:color w:val="auto"/>
        </w:rPr>
      </w:pPr>
      <w:r w:rsidRPr="005576BB">
        <w:rPr>
          <w:rFonts w:cs="Times New Roman"/>
          <w:color w:val="auto"/>
        </w:rPr>
        <w:t xml:space="preserve">   </w:t>
      </w:r>
      <w:r w:rsidRPr="005576BB">
        <w:rPr>
          <w:rFonts w:hint="eastAsia"/>
          <w:color w:val="auto"/>
        </w:rPr>
        <w:t xml:space="preserve">　②　</w:t>
      </w:r>
      <w:r w:rsidR="008678B9" w:rsidRPr="005576BB">
        <w:rPr>
          <w:rFonts w:hint="eastAsia"/>
          <w:color w:val="auto"/>
        </w:rPr>
        <w:t>選定</w:t>
      </w:r>
      <w:r w:rsidRPr="005576BB">
        <w:rPr>
          <w:rFonts w:hint="eastAsia"/>
          <w:color w:val="auto"/>
        </w:rPr>
        <w:t>評価機関は、上記の調査等がなされるときは、積極的にこれに協力するものとする。</w:t>
      </w:r>
    </w:p>
    <w:p w:rsidR="006F6B62" w:rsidRPr="005576BB" w:rsidRDefault="00E74BE8" w:rsidP="006F6B62">
      <w:pPr>
        <w:adjustRightInd/>
        <w:spacing w:line="348" w:lineRule="exact"/>
        <w:ind w:left="778" w:hanging="778"/>
        <w:rPr>
          <w:rFonts w:ascii="ＭＳ 明朝" w:cs="Times New Roman"/>
          <w:color w:val="auto"/>
        </w:rPr>
      </w:pPr>
      <w:r w:rsidRPr="005576BB">
        <w:rPr>
          <w:rFonts w:cs="Times New Roman"/>
          <w:color w:val="auto"/>
        </w:rPr>
        <w:t xml:space="preserve">   </w:t>
      </w:r>
      <w:r w:rsidRPr="005576BB">
        <w:rPr>
          <w:rFonts w:hint="eastAsia"/>
          <w:color w:val="auto"/>
        </w:rPr>
        <w:t xml:space="preserve">　③　県は、現に外部評価</w:t>
      </w:r>
      <w:r w:rsidR="00726881" w:rsidRPr="005576BB">
        <w:rPr>
          <w:rFonts w:hint="eastAsia"/>
          <w:color w:val="auto"/>
        </w:rPr>
        <w:t>業務</w:t>
      </w:r>
      <w:r w:rsidRPr="005576BB">
        <w:rPr>
          <w:rFonts w:hint="eastAsia"/>
          <w:color w:val="auto"/>
        </w:rPr>
        <w:t>が行われていないとき、又は、</w:t>
      </w:r>
      <w:r w:rsidR="008678B9" w:rsidRPr="005576BB">
        <w:rPr>
          <w:rFonts w:hint="eastAsia"/>
          <w:color w:val="auto"/>
        </w:rPr>
        <w:t>選定</w:t>
      </w:r>
      <w:r w:rsidRPr="005576BB">
        <w:rPr>
          <w:rFonts w:hint="eastAsia"/>
          <w:color w:val="auto"/>
        </w:rPr>
        <w:t>評価機関としての要件を欠く具体的な事実を確認</w:t>
      </w:r>
      <w:r w:rsidRPr="005576BB">
        <w:rPr>
          <w:rFonts w:hint="eastAsia"/>
          <w:color w:val="auto"/>
        </w:rPr>
        <w:t>したときは、期限を付して当該事実の是正を求め、是正されない場合には、選定を取り消すものとする。</w:t>
      </w:r>
    </w:p>
    <w:p w:rsidR="006F6B62" w:rsidRPr="005576BB" w:rsidRDefault="00E74BE8" w:rsidP="006F6B62">
      <w:pPr>
        <w:adjustRightInd/>
        <w:spacing w:line="348" w:lineRule="exact"/>
        <w:ind w:left="778" w:hanging="778"/>
        <w:rPr>
          <w:rFonts w:ascii="ＭＳ 明朝" w:cs="Times New Roman"/>
          <w:color w:val="auto"/>
        </w:rPr>
      </w:pPr>
      <w:r w:rsidRPr="005576BB">
        <w:rPr>
          <w:rFonts w:cs="Times New Roman"/>
          <w:color w:val="auto"/>
        </w:rPr>
        <w:t xml:space="preserve">   </w:t>
      </w:r>
      <w:r w:rsidRPr="005576BB">
        <w:rPr>
          <w:rFonts w:hint="eastAsia"/>
          <w:color w:val="auto"/>
        </w:rPr>
        <w:t xml:space="preserve">　④　県は、選定の取消に当たっては、</w:t>
      </w:r>
      <w:r w:rsidR="008678B9" w:rsidRPr="005576BB">
        <w:rPr>
          <w:rFonts w:hint="eastAsia"/>
          <w:color w:val="auto"/>
        </w:rPr>
        <w:t>選定</w:t>
      </w:r>
      <w:r w:rsidRPr="005576BB">
        <w:rPr>
          <w:rFonts w:hint="eastAsia"/>
          <w:color w:val="auto"/>
        </w:rPr>
        <w:t>評価機関選定取消通知書（様式第</w:t>
      </w:r>
      <w:r w:rsidR="003C2630" w:rsidRPr="005576BB">
        <w:rPr>
          <w:rFonts w:hint="eastAsia"/>
          <w:color w:val="auto"/>
        </w:rPr>
        <w:t>７</w:t>
      </w:r>
      <w:r w:rsidRPr="005576BB">
        <w:rPr>
          <w:rFonts w:hint="eastAsia"/>
          <w:color w:val="auto"/>
        </w:rPr>
        <w:t>号）をもって通知するものとする。</w:t>
      </w:r>
    </w:p>
    <w:p w:rsidR="006F6B62" w:rsidRPr="005576BB" w:rsidRDefault="00E74BE8" w:rsidP="006F6B62">
      <w:pPr>
        <w:adjustRightInd/>
        <w:spacing w:line="348" w:lineRule="exact"/>
        <w:ind w:left="778"/>
        <w:rPr>
          <w:rFonts w:ascii="ＭＳ 明朝" w:cs="Times New Roman"/>
          <w:color w:val="auto"/>
        </w:rPr>
      </w:pPr>
      <w:r w:rsidRPr="005576BB">
        <w:rPr>
          <w:rFonts w:hint="eastAsia"/>
          <w:color w:val="auto"/>
        </w:rPr>
        <w:t xml:space="preserve">　なお、第</w:t>
      </w:r>
      <w:r w:rsidR="00DD52F6" w:rsidRPr="005576BB">
        <w:rPr>
          <w:rFonts w:hint="eastAsia"/>
          <w:color w:val="auto"/>
        </w:rPr>
        <w:t>２</w:t>
      </w:r>
      <w:r w:rsidRPr="005576BB">
        <w:rPr>
          <w:rFonts w:hint="eastAsia"/>
          <w:color w:val="auto"/>
        </w:rPr>
        <w:t>の（３）本文の規定は、選定を取り消す場合において準用する。</w:t>
      </w:r>
    </w:p>
    <w:p w:rsidR="006F6B62" w:rsidRPr="005576BB" w:rsidRDefault="00E74BE8" w:rsidP="006F6B62">
      <w:pPr>
        <w:adjustRightInd/>
        <w:spacing w:line="348" w:lineRule="exact"/>
        <w:ind w:left="778"/>
        <w:rPr>
          <w:rFonts w:ascii="ＭＳ 明朝" w:cs="Times New Roman"/>
          <w:color w:val="auto"/>
        </w:rPr>
      </w:pPr>
      <w:r w:rsidRPr="005576BB">
        <w:rPr>
          <w:rFonts w:hint="eastAsia"/>
          <w:color w:val="auto"/>
        </w:rPr>
        <w:t xml:space="preserve">　この場合「評価手数料」及び「評価調査員の数」は除外し、「選定年月日」は「取消年月日」と読み替えるものとする。</w:t>
      </w:r>
    </w:p>
    <w:p w:rsidR="006F6B62" w:rsidRPr="005576BB" w:rsidRDefault="006F6B62">
      <w:pPr>
        <w:rPr>
          <w:color w:val="auto"/>
        </w:rPr>
      </w:pPr>
    </w:p>
    <w:sectPr w:rsidR="006F6B62" w:rsidRPr="005576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22908"/>
    <w:multiLevelType w:val="hybridMultilevel"/>
    <w:tmpl w:val="0A6046BC"/>
    <w:lvl w:ilvl="0">
      <w:start w:val="4"/>
      <w:numFmt w:val="decimalEnclosedCircle"/>
      <w:lvlText w:val="%1"/>
      <w:lvlJc w:val="left"/>
      <w:pPr>
        <w:tabs>
          <w:tab w:val="num" w:pos="1005"/>
        </w:tabs>
        <w:ind w:left="1005" w:hanging="450"/>
      </w:pPr>
      <w:rPr>
        <w:rFonts w:cs="Times New Roman" w:hint="eastAsia"/>
        <w:color w:val="auto"/>
      </w:rPr>
    </w:lvl>
    <w:lvl w:ilvl="1" w:tentative="1">
      <w:start w:val="1"/>
      <w:numFmt w:val="aiueoFullWidth"/>
      <w:lvlText w:val="(%2)"/>
      <w:lvlJc w:val="left"/>
      <w:pPr>
        <w:tabs>
          <w:tab w:val="num" w:pos="1395"/>
        </w:tabs>
        <w:ind w:left="1395" w:hanging="420"/>
      </w:pPr>
      <w:rPr>
        <w:rFonts w:cs="Times New Roman"/>
      </w:rPr>
    </w:lvl>
    <w:lvl w:ilvl="2" w:tentative="1">
      <w:start w:val="1"/>
      <w:numFmt w:val="decimalEnclosedCircle"/>
      <w:lvlText w:val="%3"/>
      <w:lvlJc w:val="left"/>
      <w:pPr>
        <w:tabs>
          <w:tab w:val="num" w:pos="1815"/>
        </w:tabs>
        <w:ind w:left="1815" w:hanging="420"/>
      </w:pPr>
      <w:rPr>
        <w:rFonts w:cs="Times New Roman"/>
      </w:rPr>
    </w:lvl>
    <w:lvl w:ilvl="3" w:tentative="1">
      <w:start w:val="1"/>
      <w:numFmt w:val="decimal"/>
      <w:lvlText w:val="%4."/>
      <w:lvlJc w:val="left"/>
      <w:pPr>
        <w:tabs>
          <w:tab w:val="num" w:pos="2235"/>
        </w:tabs>
        <w:ind w:left="2235" w:hanging="420"/>
      </w:pPr>
      <w:rPr>
        <w:rFonts w:cs="Times New Roman"/>
      </w:rPr>
    </w:lvl>
    <w:lvl w:ilvl="4" w:tentative="1">
      <w:start w:val="1"/>
      <w:numFmt w:val="aiueoFullWidth"/>
      <w:lvlText w:val="(%5)"/>
      <w:lvlJc w:val="left"/>
      <w:pPr>
        <w:tabs>
          <w:tab w:val="num" w:pos="2655"/>
        </w:tabs>
        <w:ind w:left="2655" w:hanging="420"/>
      </w:pPr>
      <w:rPr>
        <w:rFonts w:cs="Times New Roman"/>
      </w:rPr>
    </w:lvl>
    <w:lvl w:ilvl="5" w:tentative="1">
      <w:start w:val="1"/>
      <w:numFmt w:val="decimalEnclosedCircle"/>
      <w:lvlText w:val="%6"/>
      <w:lvlJc w:val="left"/>
      <w:pPr>
        <w:tabs>
          <w:tab w:val="num" w:pos="3075"/>
        </w:tabs>
        <w:ind w:left="3075" w:hanging="420"/>
      </w:pPr>
      <w:rPr>
        <w:rFonts w:cs="Times New Roman"/>
      </w:rPr>
    </w:lvl>
    <w:lvl w:ilvl="6" w:tentative="1">
      <w:start w:val="1"/>
      <w:numFmt w:val="decimal"/>
      <w:lvlText w:val="%7."/>
      <w:lvlJc w:val="left"/>
      <w:pPr>
        <w:tabs>
          <w:tab w:val="num" w:pos="3495"/>
        </w:tabs>
        <w:ind w:left="3495" w:hanging="420"/>
      </w:pPr>
      <w:rPr>
        <w:rFonts w:cs="Times New Roman"/>
      </w:rPr>
    </w:lvl>
    <w:lvl w:ilvl="7" w:tentative="1">
      <w:start w:val="1"/>
      <w:numFmt w:val="aiueoFullWidth"/>
      <w:lvlText w:val="(%8)"/>
      <w:lvlJc w:val="left"/>
      <w:pPr>
        <w:tabs>
          <w:tab w:val="num" w:pos="3915"/>
        </w:tabs>
        <w:ind w:left="3915" w:hanging="420"/>
      </w:pPr>
      <w:rPr>
        <w:rFonts w:cs="Times New Roman"/>
      </w:rPr>
    </w:lvl>
    <w:lvl w:ilvl="8" w:tentative="1">
      <w:start w:val="1"/>
      <w:numFmt w:val="decimalEnclosedCircle"/>
      <w:lvlText w:val="%9"/>
      <w:lvlJc w:val="left"/>
      <w:pPr>
        <w:tabs>
          <w:tab w:val="num" w:pos="4335"/>
        </w:tabs>
        <w:ind w:left="433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B62"/>
    <w:rsid w:val="0003585D"/>
    <w:rsid w:val="00090EE3"/>
    <w:rsid w:val="000C434E"/>
    <w:rsid w:val="000D3138"/>
    <w:rsid w:val="000D4BB6"/>
    <w:rsid w:val="0010717C"/>
    <w:rsid w:val="001559A7"/>
    <w:rsid w:val="0022501F"/>
    <w:rsid w:val="00255E4C"/>
    <w:rsid w:val="00292A87"/>
    <w:rsid w:val="002E56D5"/>
    <w:rsid w:val="00314796"/>
    <w:rsid w:val="003C2630"/>
    <w:rsid w:val="004D2046"/>
    <w:rsid w:val="005576BB"/>
    <w:rsid w:val="00687B31"/>
    <w:rsid w:val="006F6B62"/>
    <w:rsid w:val="007256F3"/>
    <w:rsid w:val="00726881"/>
    <w:rsid w:val="00782B89"/>
    <w:rsid w:val="007C2C37"/>
    <w:rsid w:val="007D7CA4"/>
    <w:rsid w:val="007F65DE"/>
    <w:rsid w:val="008678B9"/>
    <w:rsid w:val="00894AE1"/>
    <w:rsid w:val="008F61F9"/>
    <w:rsid w:val="00931CBB"/>
    <w:rsid w:val="009418F8"/>
    <w:rsid w:val="009B2049"/>
    <w:rsid w:val="00A3158F"/>
    <w:rsid w:val="00AE7578"/>
    <w:rsid w:val="00B1528F"/>
    <w:rsid w:val="00B61A57"/>
    <w:rsid w:val="00BC66F4"/>
    <w:rsid w:val="00BF09B7"/>
    <w:rsid w:val="00C02139"/>
    <w:rsid w:val="00C07F05"/>
    <w:rsid w:val="00C47003"/>
    <w:rsid w:val="00CD54AB"/>
    <w:rsid w:val="00CF4632"/>
    <w:rsid w:val="00D1276E"/>
    <w:rsid w:val="00D27300"/>
    <w:rsid w:val="00D714C9"/>
    <w:rsid w:val="00D91F2F"/>
    <w:rsid w:val="00DD52F6"/>
    <w:rsid w:val="00DE155B"/>
    <w:rsid w:val="00DE7376"/>
    <w:rsid w:val="00E74BE8"/>
    <w:rsid w:val="00F74E10"/>
    <w:rsid w:val="00F82B89"/>
    <w:rsid w:val="00F9021C"/>
    <w:rsid w:val="00FB0CBE"/>
    <w:rsid w:val="00FF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004434F-F466-479F-AE8F-416FB119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B62"/>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2564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永田　涼太</cp:lastModifiedBy>
  <cp:revision>2</cp:revision>
  <cp:lastPrinted>1601-01-01T00:00:00Z</cp:lastPrinted>
  <dcterms:created xsi:type="dcterms:W3CDTF">2023-03-27T10:49:00Z</dcterms:created>
  <dcterms:modified xsi:type="dcterms:W3CDTF">2023-03-27T10:49:00Z</dcterms:modified>
</cp:coreProperties>
</file>