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C9C2" w14:textId="302337EF" w:rsidR="00920266" w:rsidRPr="00354B68" w:rsidRDefault="00920266" w:rsidP="003A515B">
      <w:pPr>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D053B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4A640B66" w14:textId="4A504F32" w:rsidR="003055D3" w:rsidRPr="00354B68" w:rsidRDefault="00F04695" w:rsidP="003A515B">
      <w:pPr>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59264" behindDoc="0" locked="0" layoutInCell="1" allowOverlap="1" wp14:anchorId="05FB0503" wp14:editId="456FCD96">
                <wp:simplePos x="0" y="0"/>
                <wp:positionH relativeFrom="margin">
                  <wp:align>right</wp:align>
                </wp:positionH>
                <wp:positionV relativeFrom="paragraph">
                  <wp:posOffset>13335</wp:posOffset>
                </wp:positionV>
                <wp:extent cx="27813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04800"/>
                        </a:xfrm>
                        <a:prstGeom prst="rect">
                          <a:avLst/>
                        </a:prstGeom>
                        <a:noFill/>
                        <a:ln w="6350">
                          <a:noFill/>
                        </a:ln>
                      </wps:spPr>
                      <wps:txbx>
                        <w:txbxContent>
                          <w:p w14:paraId="6A1263FE" w14:textId="0CE35D83" w:rsidR="00F04695" w:rsidRPr="00F04695" w:rsidRDefault="00F04695">
                            <w:pPr>
                              <w:rPr>
                                <w:u w:val="single"/>
                              </w:rPr>
                            </w:pPr>
                            <w:r w:rsidRPr="00F04695">
                              <w:rPr>
                                <w:rFonts w:hint="eastAsia"/>
                                <w:u w:val="single"/>
                              </w:rPr>
                              <w:t>組織名</w:t>
                            </w:r>
                            <w:r w:rsidR="00167C6D">
                              <w:rPr>
                                <w:rFonts w:hint="eastAsia"/>
                                <w:u w:val="single"/>
                              </w:rPr>
                              <w:t>：</w:t>
                            </w:r>
                            <w:r w:rsidRPr="00F04695">
                              <w:rPr>
                                <w:rFonts w:hint="eastAsia"/>
                                <w:u w:val="single"/>
                              </w:rPr>
                              <w:t xml:space="preserve">　</w:t>
                            </w:r>
                            <w:r w:rsidRPr="00F04695">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B0503" id="_x0000_t202" coordsize="21600,21600" o:spt="202" path="m,l,21600r21600,l21600,xe">
                <v:stroke joinstyle="miter"/>
                <v:path gradientshapeok="t" o:connecttype="rect"/>
              </v:shapetype>
              <v:shape id="テキスト ボックス 1" o:spid="_x0000_s1026" type="#_x0000_t202" style="position:absolute;left:0;text-align:left;margin-left:167.8pt;margin-top:1.05pt;width:219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" filled="f" stroked="f" strokeweight=".5pt">
                <v:textbox>
                  <w:txbxContent>
                    <w:p w14:paraId="6A1263FE" w14:textId="0CE35D83" w:rsidR="00F04695" w:rsidRPr="00F04695" w:rsidRDefault="00F04695">
                      <w:pPr>
                        <w:rPr>
                          <w:rFonts w:hint="eastAsia"/>
                          <w:u w:val="single"/>
                        </w:rPr>
                      </w:pPr>
                      <w:r w:rsidRPr="00F04695">
                        <w:rPr>
                          <w:rFonts w:hint="eastAsia"/>
                          <w:u w:val="single"/>
                        </w:rPr>
                        <w:t>組織名</w:t>
                      </w:r>
                      <w:r w:rsidR="00167C6D">
                        <w:rPr>
                          <w:rFonts w:hint="eastAsia"/>
                          <w:u w:val="single"/>
                        </w:rPr>
                        <w:t>：</w:t>
                      </w:r>
                      <w:bookmarkStart w:id="1" w:name="_GoBack"/>
                      <w:bookmarkEnd w:id="1"/>
                      <w:r w:rsidRPr="00F04695">
                        <w:rPr>
                          <w:rFonts w:hint="eastAsia"/>
                          <w:u w:val="single"/>
                        </w:rPr>
                        <w:t xml:space="preserve">　</w:t>
                      </w:r>
                      <w:r w:rsidRPr="00F04695">
                        <w:rPr>
                          <w:u w:val="single"/>
                        </w:rPr>
                        <w:t xml:space="preserve">　　　　　　　　　　　　　　　</w:t>
                      </w:r>
                    </w:p>
                  </w:txbxContent>
                </v:textbox>
                <w10:wrap anchorx="margin"/>
              </v:shape>
            </w:pict>
          </mc:Fallback>
        </mc:AlternateContent>
      </w:r>
    </w:p>
    <w:p w14:paraId="40F6E638" w14:textId="77777777" w:rsidR="003055D3" w:rsidRPr="00354B68" w:rsidRDefault="003055D3" w:rsidP="003A515B">
      <w:pPr>
        <w:rPr>
          <w:rFonts w:ascii="ＭＳ 明朝" w:hAnsi="ＭＳ 明朝"/>
          <w:color w:val="000000"/>
          <w:sz w:val="24"/>
          <w:szCs w:val="24"/>
        </w:rPr>
      </w:pPr>
    </w:p>
    <w:p w14:paraId="1C866FB3" w14:textId="363D96A8" w:rsidR="003055D3" w:rsidRPr="00354B68" w:rsidRDefault="003055D3" w:rsidP="003A515B">
      <w:pPr>
        <w:rPr>
          <w:rFonts w:ascii="ＭＳ 明朝" w:hAnsi="ＭＳ 明朝"/>
          <w:color w:val="000000"/>
          <w:sz w:val="24"/>
          <w:szCs w:val="24"/>
        </w:rPr>
      </w:pPr>
      <w:r w:rsidRPr="00354B68">
        <w:rPr>
          <w:rFonts w:ascii="ＭＳ 明朝" w:hAnsi="ＭＳ 明朝"/>
          <w:noProof/>
        </w:rPr>
        <w:drawing>
          <wp:inline distT="0" distB="0" distL="0" distR="0" wp14:anchorId="2A632A4D" wp14:editId="2D4AECFC">
            <wp:extent cx="5904230" cy="4529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0E1A67BA" w14:textId="77777777" w:rsidR="00D053BC" w:rsidRPr="007F5A96" w:rsidRDefault="00D053BC" w:rsidP="00D053BC">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260A0B29" w14:textId="77777777" w:rsidR="00D053BC" w:rsidRDefault="00D053BC" w:rsidP="00D053BC">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053BC" w14:paraId="0EDAFC83" w14:textId="77777777" w:rsidTr="00425438">
        <w:tc>
          <w:tcPr>
            <w:tcW w:w="4644" w:type="dxa"/>
          </w:tcPr>
          <w:p w14:paraId="6A5AED66"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3D52432A"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17E76552"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326C412"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213CB2BE"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30A1F273"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4FDEEDEF"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365AC098"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529B47BB"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2A1BB9D6"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04B5059C"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2FA4F45C"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63F3A39"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22A97D84"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5B40FE81"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77074A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60370F31"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3B4EA85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539BD2EA"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1BF72A49"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741DECBC"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3B0FEDAB"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6D1D9F3F"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247323D5"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7032643D"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583C6B66"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20F10FFC" w14:textId="77777777" w:rsidR="00D053BC" w:rsidRDefault="00D053BC" w:rsidP="00425438">
            <w:pPr>
              <w:spacing w:line="160" w:lineRule="exact"/>
              <w:rPr>
                <w:rFonts w:ascii="ＭＳ 明朝" w:hAnsi="ＭＳ 明朝"/>
                <w:color w:val="000000"/>
                <w:sz w:val="12"/>
                <w:szCs w:val="12"/>
              </w:rPr>
            </w:pPr>
          </w:p>
        </w:tc>
        <w:tc>
          <w:tcPr>
            <w:tcW w:w="4644" w:type="dxa"/>
          </w:tcPr>
          <w:p w14:paraId="5AFEE78C"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005DE2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7C271331"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02182708"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739E1247"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12302CBA"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D309A95"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2CA73D1E"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26E06C76"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0AADA61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42C87A52"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200972B5"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25825835"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147EA38D"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595517D6"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804EC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4559E5B4"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24CE0EF2"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10202A9D"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3D0F949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19C335C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0F1CDA1"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076A9340"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1E9FB82C" w14:textId="77777777" w:rsidR="00D053BC" w:rsidRPr="007F5A96"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7069331E" w14:textId="77777777" w:rsidR="00D053BC" w:rsidRDefault="00D053BC" w:rsidP="00425438">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D86BB88" w14:textId="478C2BC9" w:rsidR="00862065" w:rsidRPr="00D053BC" w:rsidRDefault="00862065" w:rsidP="00D053BC">
      <w:pPr>
        <w:widowControl/>
        <w:jc w:val="left"/>
        <w:rPr>
          <w:rFonts w:ascii="ＭＳ 明朝" w:hAnsi="ＭＳ 明朝" w:hint="eastAsia"/>
          <w:color w:val="000000"/>
          <w:sz w:val="14"/>
          <w:szCs w:val="14"/>
        </w:rPr>
      </w:pPr>
      <w:bookmarkStart w:id="0" w:name="_GoBack"/>
      <w:bookmarkEnd w:id="0"/>
    </w:p>
    <w:sectPr w:rsidR="00862065" w:rsidRPr="00D053BC" w:rsidSect="00282B3B">
      <w:footerReference w:type="default" r:id="rId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15CA" w14:textId="77777777" w:rsidR="00434F67" w:rsidRDefault="00434F67" w:rsidP="004E3CA5">
      <w:r>
        <w:separator/>
      </w:r>
    </w:p>
  </w:endnote>
  <w:endnote w:type="continuationSeparator" w:id="0">
    <w:p w14:paraId="23C4E984" w14:textId="77777777" w:rsidR="00434F67" w:rsidRDefault="00434F67"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265EFFE3"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5265" w14:textId="77777777" w:rsidR="00434F67" w:rsidRDefault="00434F67" w:rsidP="004E3CA5">
      <w:r>
        <w:separator/>
      </w:r>
    </w:p>
  </w:footnote>
  <w:footnote w:type="continuationSeparator" w:id="0">
    <w:p w14:paraId="29D33B00" w14:textId="77777777" w:rsidR="00434F67" w:rsidRDefault="00434F67"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5D9B"/>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67C6D"/>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2B3B"/>
    <w:rsid w:val="00283C5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67"/>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0975"/>
    <w:rsid w:val="009D20DB"/>
    <w:rsid w:val="009D218E"/>
    <w:rsid w:val="009D3228"/>
    <w:rsid w:val="009D50C8"/>
    <w:rsid w:val="009D6E1C"/>
    <w:rsid w:val="009E2C84"/>
    <w:rsid w:val="009E705C"/>
    <w:rsid w:val="009E7BCF"/>
    <w:rsid w:val="009F007F"/>
    <w:rsid w:val="009F10B3"/>
    <w:rsid w:val="009F3E70"/>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53BC"/>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4695"/>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55D5"/>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661E-FB2F-45AB-ADF0-FBCB9444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9</cp:revision>
  <cp:lastPrinted>2024-03-26T06:26:00Z</cp:lastPrinted>
  <dcterms:created xsi:type="dcterms:W3CDTF">2024-03-28T01:24:00Z</dcterms:created>
  <dcterms:modified xsi:type="dcterms:W3CDTF">2025-04-17T01:18:00Z</dcterms:modified>
</cp:coreProperties>
</file>