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4F" w:rsidRPr="00EA244F" w:rsidRDefault="00EA244F" w:rsidP="00EA244F">
      <w:pPr>
        <w:spacing w:line="476" w:lineRule="exact"/>
        <w:jc w:val="center"/>
        <w:rPr>
          <w:rFonts w:hAnsi="ＭＳ 明朝" w:hint="default"/>
          <w:sz w:val="16"/>
        </w:rPr>
      </w:pPr>
      <w:r w:rsidRPr="00EA244F">
        <w:rPr>
          <w:rFonts w:hAnsi="ＭＳ 明朝"/>
          <w:b/>
          <w:spacing w:val="-11"/>
          <w:sz w:val="28"/>
        </w:rPr>
        <w:t>「心に残る文化財子ども塾」学習指導案</w:t>
      </w:r>
    </w:p>
    <w:p w:rsidR="00EA244F" w:rsidRDefault="00345CDD" w:rsidP="00EA244F">
      <w:pPr>
        <w:jc w:val="left"/>
        <w:rPr>
          <w:rFonts w:hAnsi="ＭＳ 明朝" w:hint="default"/>
        </w:rPr>
      </w:pPr>
      <w:r>
        <w:rPr>
          <w:rFonts w:hAnsi="ＭＳ 明朝"/>
        </w:rPr>
        <w:t xml:space="preserve">　　　　　　　　　　　　　　　　　　　　 </w:t>
      </w:r>
      <w:r w:rsidR="00EA244F">
        <w:rPr>
          <w:rFonts w:hAnsi="ＭＳ 明朝"/>
        </w:rPr>
        <w:t>日　時：平成27年</w:t>
      </w:r>
      <w:r w:rsidR="00585F98">
        <w:rPr>
          <w:rFonts w:hAnsi="ＭＳ 明朝"/>
        </w:rPr>
        <w:t>12</w:t>
      </w:r>
      <w:r w:rsidR="00EA244F">
        <w:rPr>
          <w:rFonts w:hAnsi="ＭＳ 明朝"/>
        </w:rPr>
        <w:t>月</w:t>
      </w:r>
      <w:r w:rsidR="001F281D">
        <w:rPr>
          <w:rFonts w:hAnsi="ＭＳ 明朝"/>
        </w:rPr>
        <w:t>11</w:t>
      </w:r>
      <w:r w:rsidR="00EA244F">
        <w:rPr>
          <w:rFonts w:hAnsi="ＭＳ 明朝"/>
        </w:rPr>
        <w:t>日（</w:t>
      </w:r>
      <w:r w:rsidR="001F281D">
        <w:rPr>
          <w:rFonts w:hAnsi="ＭＳ 明朝"/>
        </w:rPr>
        <w:t>金</w:t>
      </w:r>
      <w:r w:rsidR="00EA244F">
        <w:rPr>
          <w:rFonts w:hAnsi="ＭＳ 明朝"/>
        </w:rPr>
        <w:t>）</w:t>
      </w:r>
    </w:p>
    <w:p w:rsidR="00EA244F" w:rsidRDefault="004C0A4C" w:rsidP="00EA244F">
      <w:pPr>
        <w:rPr>
          <w:rFonts w:hAnsi="ＭＳ 明朝" w:hint="default"/>
        </w:rPr>
      </w:pPr>
      <w:r>
        <w:rPr>
          <w:rFonts w:hAnsi="ＭＳ 明朝"/>
        </w:rPr>
        <w:t xml:space="preserve">　　　　　　　　　　　　　　　　　　　　　　　</w:t>
      </w:r>
      <w:r w:rsidR="001F281D">
        <w:rPr>
          <w:rFonts w:hAnsi="ＭＳ 明朝"/>
        </w:rPr>
        <w:t xml:space="preserve">　</w:t>
      </w:r>
      <w:r w:rsidR="00345CDD">
        <w:rPr>
          <w:rFonts w:hAnsi="ＭＳ 明朝"/>
        </w:rPr>
        <w:t xml:space="preserve">　　　　　　</w:t>
      </w:r>
      <w:r w:rsidR="00EA244F">
        <w:rPr>
          <w:rFonts w:hAnsi="ＭＳ 明朝"/>
        </w:rPr>
        <w:t>9:</w:t>
      </w:r>
      <w:r>
        <w:rPr>
          <w:rFonts w:hAnsi="ＭＳ 明朝"/>
        </w:rPr>
        <w:t>35</w:t>
      </w:r>
      <w:r w:rsidR="00EA244F">
        <w:rPr>
          <w:rFonts w:hAnsi="ＭＳ 明朝"/>
        </w:rPr>
        <w:t>～11:3</w:t>
      </w:r>
      <w:r>
        <w:rPr>
          <w:rFonts w:hAnsi="ＭＳ 明朝"/>
        </w:rPr>
        <w:t>5</w:t>
      </w:r>
      <w:r w:rsidR="00EA244F">
        <w:rPr>
          <w:rFonts w:hAnsi="ＭＳ 明朝"/>
        </w:rPr>
        <w:t>（</w:t>
      </w:r>
      <w:r>
        <w:rPr>
          <w:rFonts w:hAnsi="ＭＳ 明朝"/>
        </w:rPr>
        <w:t>2・3</w:t>
      </w:r>
      <w:r w:rsidR="00EA244F">
        <w:rPr>
          <w:rFonts w:hAnsi="ＭＳ 明朝"/>
        </w:rPr>
        <w:t>校時）</w:t>
      </w:r>
    </w:p>
    <w:p w:rsidR="00EA244F" w:rsidRDefault="00345CDD" w:rsidP="00EA244F">
      <w:pPr>
        <w:rPr>
          <w:rFonts w:hAnsi="ＭＳ 明朝" w:hint="default"/>
          <w:lang w:eastAsia="zh-CN"/>
        </w:rPr>
      </w:pPr>
      <w:r>
        <w:rPr>
          <w:rFonts w:hAnsi="ＭＳ 明朝"/>
        </w:rPr>
        <w:t xml:space="preserve">　　　　　　　　　　　　　　　　　　　　 </w:t>
      </w:r>
      <w:r w:rsidR="00EA244F">
        <w:rPr>
          <w:rFonts w:hAnsi="ＭＳ 明朝"/>
          <w:lang w:eastAsia="zh-CN"/>
        </w:rPr>
        <w:t>場　所：出雲市立窪田小学校</w:t>
      </w:r>
      <w:r w:rsidR="007412DA">
        <w:rPr>
          <w:rFonts w:hAnsi="ＭＳ 明朝"/>
        </w:rPr>
        <w:t xml:space="preserve">　理科室</w:t>
      </w:r>
    </w:p>
    <w:p w:rsidR="00345CDD" w:rsidRDefault="00345CDD" w:rsidP="00345CDD">
      <w:pPr>
        <w:ind w:left="4875" w:hangingChars="2300" w:hanging="4875"/>
        <w:jc w:val="left"/>
        <w:rPr>
          <w:rFonts w:hAnsi="ＭＳ 明朝" w:hint="default"/>
        </w:rPr>
      </w:pPr>
      <w:r>
        <w:rPr>
          <w:rFonts w:hAnsi="ＭＳ 明朝"/>
          <w:lang w:eastAsia="zh-CN"/>
        </w:rPr>
        <w:t xml:space="preserve">　　　　　　　　　　　　　　　　　　　　</w:t>
      </w:r>
      <w:r>
        <w:rPr>
          <w:rFonts w:hAnsi="ＭＳ 明朝"/>
        </w:rPr>
        <w:t xml:space="preserve"> </w:t>
      </w:r>
      <w:r w:rsidR="002265C8">
        <w:rPr>
          <w:rFonts w:hAnsi="ＭＳ 明朝"/>
          <w:lang w:eastAsia="zh-CN"/>
        </w:rPr>
        <w:t>対象者：出雲市立窪田小学校６年生</w:t>
      </w:r>
      <w:r w:rsidR="001F281D">
        <w:rPr>
          <w:rFonts w:hAnsi="ＭＳ 明朝"/>
          <w:lang w:eastAsia="zh-CN"/>
        </w:rPr>
        <w:t>10</w:t>
      </w:r>
      <w:r w:rsidR="00EA244F">
        <w:rPr>
          <w:rFonts w:hAnsi="ＭＳ 明朝"/>
          <w:lang w:eastAsia="zh-CN"/>
        </w:rPr>
        <w:t>名</w:t>
      </w:r>
    </w:p>
    <w:p w:rsidR="00EA244F" w:rsidRDefault="00345CDD" w:rsidP="00345CDD">
      <w:pPr>
        <w:ind w:leftChars="2061" w:left="5216" w:hangingChars="400" w:hanging="848"/>
        <w:jc w:val="left"/>
        <w:rPr>
          <w:rFonts w:hAnsi="ＭＳ 明朝" w:hint="default"/>
        </w:rPr>
      </w:pPr>
      <w:r>
        <w:rPr>
          <w:rFonts w:hAnsi="ＭＳ 明朝"/>
        </w:rPr>
        <w:t>指導者：○６年担任</w:t>
      </w:r>
      <w:r w:rsidR="00EA244F">
        <w:rPr>
          <w:rFonts w:hAnsi="ＭＳ 明朝"/>
          <w:lang w:eastAsia="zh-CN"/>
        </w:rPr>
        <w:t xml:space="preserve">　　　　　　　　　　　　　　　　　　　　　　　　　</w:t>
      </w:r>
      <w:r>
        <w:rPr>
          <w:rFonts w:hAnsi="ＭＳ 明朝"/>
          <w:lang w:eastAsia="zh-CN"/>
        </w:rPr>
        <w:t xml:space="preserve">　　　　　　　　　　　　　　　　　　　　</w:t>
      </w:r>
      <w:r>
        <w:rPr>
          <w:rFonts w:hAnsi="ＭＳ 明朝"/>
        </w:rPr>
        <w:t>○島根県埋蔵文化財調査ｾﾝﾀｰ職員</w:t>
      </w:r>
      <w:r w:rsidR="007412DA">
        <w:rPr>
          <w:rFonts w:hAnsi="ＭＳ 明朝"/>
        </w:rPr>
        <w:t>１</w:t>
      </w:r>
      <w:r>
        <w:rPr>
          <w:rFonts w:hAnsi="ＭＳ 明朝"/>
        </w:rPr>
        <w:t>名</w:t>
      </w:r>
    </w:p>
    <w:p w:rsidR="00EA244F" w:rsidRPr="00585F98" w:rsidRDefault="00EA244F" w:rsidP="00EA244F">
      <w:pPr>
        <w:rPr>
          <w:rFonts w:hAnsi="ＭＳ 明朝" w:hint="default"/>
        </w:rPr>
      </w:pPr>
    </w:p>
    <w:p w:rsidR="00EA244F" w:rsidRDefault="00EA244F" w:rsidP="00EA244F">
      <w:pPr>
        <w:rPr>
          <w:rFonts w:hAnsi="ＭＳ 明朝" w:hint="default"/>
        </w:rPr>
      </w:pPr>
      <w:r>
        <w:rPr>
          <w:rFonts w:hAnsi="ＭＳ 明朝"/>
          <w:spacing w:val="-11"/>
        </w:rPr>
        <w:t>１．主題（主題名）</w:t>
      </w:r>
    </w:p>
    <w:p w:rsidR="00EA244F" w:rsidRDefault="00EA244F" w:rsidP="00EA244F">
      <w:pPr>
        <w:rPr>
          <w:rFonts w:hAnsi="ＭＳ 明朝" w:hint="default"/>
        </w:rPr>
      </w:pPr>
      <w:r>
        <w:rPr>
          <w:rFonts w:hAnsi="ＭＳ 明朝"/>
          <w:spacing w:val="-11"/>
        </w:rPr>
        <w:t xml:space="preserve">　　　</w:t>
      </w:r>
      <w:r w:rsidR="00AE1648">
        <w:rPr>
          <w:rFonts w:hAnsi="ＭＳ 明朝"/>
          <w:spacing w:val="-11"/>
        </w:rPr>
        <w:t>昔の人が使っていたお金や鏡を作って</w:t>
      </w:r>
      <w:r w:rsidR="006D2DD3">
        <w:rPr>
          <w:rFonts w:hAnsi="ＭＳ 明朝"/>
          <w:spacing w:val="-11"/>
        </w:rPr>
        <w:t>、</w:t>
      </w:r>
      <w:r w:rsidR="005A4A7F">
        <w:rPr>
          <w:rFonts w:hAnsi="ＭＳ 明朝"/>
          <w:spacing w:val="-11"/>
        </w:rPr>
        <w:t>古代の人々の文化や技術を知ろう。</w:t>
      </w:r>
    </w:p>
    <w:p w:rsidR="00EA244F" w:rsidRDefault="00EA244F" w:rsidP="00EA244F">
      <w:pPr>
        <w:rPr>
          <w:rFonts w:hAnsi="ＭＳ 明朝" w:hint="default"/>
        </w:rPr>
      </w:pPr>
      <w:r>
        <w:rPr>
          <w:rFonts w:hAnsi="ＭＳ 明朝"/>
          <w:spacing w:val="-11"/>
        </w:rPr>
        <w:t>２．ねらい</w:t>
      </w:r>
    </w:p>
    <w:p w:rsidR="00585F98" w:rsidRDefault="00EA244F" w:rsidP="00585F98">
      <w:pPr>
        <w:ind w:left="380" w:hangingChars="200" w:hanging="380"/>
        <w:rPr>
          <w:rFonts w:hAnsi="ＭＳ 明朝" w:hint="default"/>
          <w:spacing w:val="-11"/>
        </w:rPr>
      </w:pPr>
      <w:r>
        <w:rPr>
          <w:rFonts w:hAnsi="ＭＳ 明朝"/>
          <w:spacing w:val="-11"/>
        </w:rPr>
        <w:t xml:space="preserve">　</w:t>
      </w:r>
      <w:r w:rsidR="00585F98">
        <w:rPr>
          <w:rFonts w:hAnsi="ＭＳ 明朝"/>
          <w:spacing w:val="-11"/>
        </w:rPr>
        <w:t>・和同開珎や鏡の歴史を学ぶことによって歴史学習への興味や関心を高める。</w:t>
      </w:r>
      <w:r>
        <w:rPr>
          <w:rFonts w:hAnsi="ＭＳ 明朝"/>
          <w:spacing w:val="-11"/>
        </w:rPr>
        <w:t xml:space="preserve">　</w:t>
      </w:r>
    </w:p>
    <w:p w:rsidR="00EA244F" w:rsidRDefault="00EA244F" w:rsidP="00A563E4">
      <w:pPr>
        <w:ind w:leftChars="100" w:left="402" w:hangingChars="100" w:hanging="190"/>
        <w:rPr>
          <w:rFonts w:hAnsi="ＭＳ 明朝" w:hint="default"/>
        </w:rPr>
      </w:pPr>
      <w:r>
        <w:rPr>
          <w:rFonts w:hAnsi="ＭＳ 明朝"/>
          <w:spacing w:val="-11"/>
        </w:rPr>
        <w:t>・</w:t>
      </w:r>
      <w:r w:rsidR="00523FF6">
        <w:rPr>
          <w:rFonts w:hAnsi="ＭＳ 明朝"/>
          <w:spacing w:val="-11"/>
        </w:rPr>
        <w:t>和同</w:t>
      </w:r>
      <w:r>
        <w:rPr>
          <w:rFonts w:hAnsi="ＭＳ 明朝"/>
          <w:spacing w:val="-11"/>
        </w:rPr>
        <w:t>開珎</w:t>
      </w:r>
      <w:r w:rsidR="00523FF6">
        <w:rPr>
          <w:rFonts w:hAnsi="ＭＳ 明朝"/>
          <w:spacing w:val="-11"/>
        </w:rPr>
        <w:t>作りや金属鏡作り</w:t>
      </w:r>
      <w:r>
        <w:rPr>
          <w:rFonts w:hAnsi="ＭＳ 明朝"/>
          <w:spacing w:val="-11"/>
        </w:rPr>
        <w:t>を</w:t>
      </w:r>
      <w:r w:rsidR="00585F98">
        <w:rPr>
          <w:rFonts w:hAnsi="ＭＳ 明朝"/>
          <w:spacing w:val="-11"/>
        </w:rPr>
        <w:t>体験することで</w:t>
      </w:r>
      <w:r>
        <w:rPr>
          <w:rFonts w:hAnsi="ＭＳ 明朝"/>
          <w:spacing w:val="-11"/>
        </w:rPr>
        <w:t>、</w:t>
      </w:r>
      <w:r w:rsidR="00585F98">
        <w:rPr>
          <w:rFonts w:hAnsi="ＭＳ 明朝"/>
          <w:spacing w:val="-11"/>
        </w:rPr>
        <w:t>古代人の生活の様子や技術等について考えることができるようにする。</w:t>
      </w:r>
      <w:r>
        <w:rPr>
          <w:rFonts w:hAnsi="ＭＳ 明朝"/>
          <w:spacing w:val="-11"/>
        </w:rPr>
        <w:t>歴史・文化財に対する興味・関心を高める。</w:t>
      </w:r>
    </w:p>
    <w:p w:rsidR="00EA244F" w:rsidRDefault="00EA244F" w:rsidP="00EA244F">
      <w:pPr>
        <w:rPr>
          <w:rFonts w:hAnsi="ＭＳ 明朝" w:hint="default"/>
        </w:rPr>
      </w:pPr>
      <w:r>
        <w:rPr>
          <w:rFonts w:hAnsi="ＭＳ 明朝"/>
          <w:spacing w:val="-11"/>
        </w:rPr>
        <w:t>３．展開</w:t>
      </w:r>
    </w:p>
    <w:tbl>
      <w:tblPr>
        <w:tblW w:w="9201" w:type="dxa"/>
        <w:tblInd w:w="161" w:type="dxa"/>
        <w:tblLayout w:type="fixed"/>
        <w:tblCellMar>
          <w:left w:w="0" w:type="dxa"/>
          <w:right w:w="0" w:type="dxa"/>
        </w:tblCellMar>
        <w:tblLook w:val="0000" w:firstRow="0" w:lastRow="0" w:firstColumn="0" w:lastColumn="0" w:noHBand="0" w:noVBand="0"/>
      </w:tblPr>
      <w:tblGrid>
        <w:gridCol w:w="837"/>
        <w:gridCol w:w="2693"/>
        <w:gridCol w:w="4536"/>
        <w:gridCol w:w="1135"/>
      </w:tblGrid>
      <w:tr w:rsidR="00B12A70" w:rsidTr="00A563E4">
        <w:tc>
          <w:tcPr>
            <w:tcW w:w="837" w:type="dxa"/>
            <w:tcBorders>
              <w:top w:val="single" w:sz="4" w:space="0" w:color="000000"/>
              <w:left w:val="single" w:sz="4" w:space="0" w:color="000000"/>
              <w:bottom w:val="single" w:sz="4" w:space="0" w:color="000000"/>
              <w:right w:val="single" w:sz="4" w:space="0" w:color="000000"/>
            </w:tcBorders>
          </w:tcPr>
          <w:p w:rsidR="00B12A70" w:rsidRDefault="00B12A70" w:rsidP="00345FF2">
            <w:pPr>
              <w:spacing w:line="267" w:lineRule="atLeast"/>
              <w:jc w:val="center"/>
              <w:rPr>
                <w:rFonts w:hAnsi="ＭＳ 明朝" w:hint="default"/>
                <w:spacing w:val="-11"/>
              </w:rPr>
            </w:pPr>
            <w:r>
              <w:rPr>
                <w:rFonts w:hAnsi="ＭＳ 明朝"/>
                <w:spacing w:val="-11"/>
              </w:rPr>
              <w:t>時間</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A70" w:rsidRDefault="00B12A70" w:rsidP="00345FF2">
            <w:pPr>
              <w:spacing w:line="267" w:lineRule="atLeast"/>
              <w:jc w:val="center"/>
              <w:rPr>
                <w:rFonts w:hint="default"/>
              </w:rPr>
            </w:pPr>
            <w:r>
              <w:rPr>
                <w:rFonts w:hAnsi="ＭＳ 明朝"/>
                <w:spacing w:val="-11"/>
              </w:rPr>
              <w:t>学習活動</w:t>
            </w:r>
          </w:p>
        </w:tc>
        <w:tc>
          <w:tcPr>
            <w:tcW w:w="45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12A70" w:rsidRDefault="00B12A70" w:rsidP="00345FF2">
            <w:pPr>
              <w:spacing w:line="267" w:lineRule="atLeast"/>
              <w:jc w:val="center"/>
              <w:rPr>
                <w:rFonts w:hint="default"/>
              </w:rPr>
            </w:pPr>
            <w:r>
              <w:rPr>
                <w:rFonts w:hAnsi="ＭＳ 明朝"/>
                <w:spacing w:val="-11"/>
              </w:rPr>
              <w:t>指導者の支援及び留意点</w:t>
            </w:r>
          </w:p>
        </w:tc>
        <w:tc>
          <w:tcPr>
            <w:tcW w:w="1135" w:type="dxa"/>
            <w:tcBorders>
              <w:top w:val="single" w:sz="4" w:space="0" w:color="000000"/>
              <w:left w:val="single" w:sz="4" w:space="0" w:color="000000"/>
              <w:bottom w:val="single" w:sz="4" w:space="0" w:color="000000"/>
              <w:right w:val="single" w:sz="4" w:space="0" w:color="000000"/>
            </w:tcBorders>
          </w:tcPr>
          <w:p w:rsidR="00B12A70" w:rsidRDefault="00B12A70" w:rsidP="00345FF2">
            <w:pPr>
              <w:spacing w:line="267" w:lineRule="atLeast"/>
              <w:jc w:val="center"/>
              <w:rPr>
                <w:rFonts w:hAnsi="ＭＳ 明朝" w:hint="default"/>
                <w:spacing w:val="-11"/>
              </w:rPr>
            </w:pPr>
            <w:r>
              <w:rPr>
                <w:rFonts w:hAnsi="ＭＳ 明朝"/>
                <w:spacing w:val="-11"/>
              </w:rPr>
              <w:t>準備品</w:t>
            </w:r>
          </w:p>
        </w:tc>
      </w:tr>
      <w:tr w:rsidR="00B12A70" w:rsidTr="00A563E4">
        <w:tc>
          <w:tcPr>
            <w:tcW w:w="837" w:type="dxa"/>
            <w:tcBorders>
              <w:top w:val="single" w:sz="4" w:space="0" w:color="000000"/>
              <w:left w:val="single" w:sz="4" w:space="0" w:color="000000"/>
              <w:bottom w:val="dashSmallGap" w:sz="4" w:space="0" w:color="auto"/>
              <w:right w:val="single" w:sz="4" w:space="0" w:color="000000"/>
            </w:tcBorders>
          </w:tcPr>
          <w:p w:rsidR="00B12A70" w:rsidRPr="00B12A70" w:rsidRDefault="00B12A70" w:rsidP="00345FF2">
            <w:pPr>
              <w:spacing w:line="267" w:lineRule="atLeast"/>
              <w:jc w:val="left"/>
              <w:rPr>
                <w:rFonts w:hint="default"/>
              </w:rPr>
            </w:pPr>
            <w:r>
              <w:t>9:35</w:t>
            </w:r>
          </w:p>
        </w:tc>
        <w:tc>
          <w:tcPr>
            <w:tcW w:w="2693"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B12A70" w:rsidRDefault="00B12A70" w:rsidP="00345FF2">
            <w:pPr>
              <w:spacing w:line="267" w:lineRule="atLeast"/>
              <w:jc w:val="left"/>
              <w:rPr>
                <w:rFonts w:hint="default"/>
              </w:rPr>
            </w:pPr>
            <w:r>
              <w:t>今日の学習の流れを確認する</w:t>
            </w:r>
          </w:p>
        </w:tc>
        <w:tc>
          <w:tcPr>
            <w:tcW w:w="4536" w:type="dxa"/>
            <w:tcBorders>
              <w:top w:val="single" w:sz="4" w:space="0" w:color="000000"/>
              <w:left w:val="single" w:sz="4" w:space="0" w:color="000000"/>
              <w:bottom w:val="dashSmallGap" w:sz="4" w:space="0" w:color="auto"/>
              <w:right w:val="single" w:sz="4" w:space="0" w:color="000000"/>
            </w:tcBorders>
            <w:tcMar>
              <w:left w:w="49" w:type="dxa"/>
              <w:right w:w="49" w:type="dxa"/>
            </w:tcMar>
          </w:tcPr>
          <w:p w:rsidR="00B12A70" w:rsidRDefault="00B12A70" w:rsidP="00345FF2">
            <w:pPr>
              <w:spacing w:line="267" w:lineRule="atLeast"/>
              <w:rPr>
                <w:rFonts w:hAnsi="ＭＳ 明朝" w:hint="default"/>
              </w:rPr>
            </w:pPr>
            <w:r>
              <w:rPr>
                <w:rFonts w:hAnsi="ＭＳ 明朝"/>
              </w:rPr>
              <w:t>・講師及び埋文センターの仕事を紹介する。</w:t>
            </w:r>
          </w:p>
          <w:p w:rsidR="00B12A70" w:rsidRPr="00AE1648" w:rsidRDefault="00B12A70" w:rsidP="00523FF6">
            <w:pPr>
              <w:spacing w:line="267" w:lineRule="atLeast"/>
              <w:rPr>
                <w:rFonts w:hAnsi="ＭＳ 明朝" w:hint="default"/>
              </w:rPr>
            </w:pPr>
            <w:r>
              <w:rPr>
                <w:rFonts w:hAnsi="ＭＳ 明朝"/>
              </w:rPr>
              <w:t>・活動の見通しがもてるよう、流れを知らせる。</w:t>
            </w:r>
          </w:p>
        </w:tc>
        <w:tc>
          <w:tcPr>
            <w:tcW w:w="1135" w:type="dxa"/>
            <w:tcBorders>
              <w:top w:val="single" w:sz="4" w:space="0" w:color="000000"/>
              <w:left w:val="single" w:sz="4" w:space="0" w:color="000000"/>
              <w:bottom w:val="dashSmallGap" w:sz="4" w:space="0" w:color="auto"/>
              <w:right w:val="single" w:sz="4" w:space="0" w:color="000000"/>
            </w:tcBorders>
          </w:tcPr>
          <w:p w:rsidR="00B12A70" w:rsidRDefault="00B12A70" w:rsidP="00345FF2">
            <w:pPr>
              <w:spacing w:line="267" w:lineRule="atLeast"/>
              <w:rPr>
                <w:rFonts w:hAnsi="ＭＳ 明朝" w:hint="default"/>
              </w:rPr>
            </w:pPr>
            <w:r>
              <w:rPr>
                <w:rFonts w:hAnsi="ＭＳ 明朝"/>
              </w:rPr>
              <w:t>・ﾄﾞｷﾄﾞｷ埋文</w:t>
            </w:r>
          </w:p>
        </w:tc>
      </w:tr>
      <w:tr w:rsidR="00B12A70" w:rsidTr="00A563E4">
        <w:trPr>
          <w:trHeight w:val="1288"/>
        </w:trPr>
        <w:tc>
          <w:tcPr>
            <w:tcW w:w="837" w:type="dxa"/>
            <w:tcBorders>
              <w:top w:val="dashSmallGap" w:sz="4" w:space="0" w:color="auto"/>
              <w:left w:val="single" w:sz="4" w:space="0" w:color="000000"/>
              <w:bottom w:val="dashSmallGap" w:sz="4" w:space="0" w:color="auto"/>
              <w:right w:val="single" w:sz="4" w:space="0" w:color="000000"/>
            </w:tcBorders>
          </w:tcPr>
          <w:p w:rsidR="00B12A70" w:rsidRPr="00B12A70" w:rsidRDefault="00B12A70" w:rsidP="009A14AF">
            <w:pPr>
              <w:spacing w:line="267" w:lineRule="atLeast"/>
              <w:rPr>
                <w:rFonts w:hint="default"/>
                <w:sz w:val="20"/>
              </w:rPr>
            </w:pPr>
            <w:r>
              <w:rPr>
                <w:sz w:val="20"/>
              </w:rPr>
              <w:t>9:40～</w:t>
            </w:r>
          </w:p>
        </w:tc>
        <w:tc>
          <w:tcPr>
            <w:tcW w:w="2693"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B12A70" w:rsidP="00345FF2">
            <w:pPr>
              <w:spacing w:line="267" w:lineRule="atLeast"/>
              <w:jc w:val="left"/>
              <w:rPr>
                <w:rFonts w:hint="default"/>
              </w:rPr>
            </w:pPr>
            <w:r>
              <w:t>・地域の遺跡を知る。</w:t>
            </w:r>
          </w:p>
          <w:p w:rsidR="00B12A70" w:rsidRDefault="00B12A70" w:rsidP="00345FF2">
            <w:pPr>
              <w:spacing w:line="267" w:lineRule="atLeast"/>
              <w:jc w:val="left"/>
              <w:rPr>
                <w:rFonts w:hint="default"/>
              </w:rPr>
            </w:pPr>
          </w:p>
          <w:p w:rsidR="00B12A70" w:rsidRDefault="00B12A70" w:rsidP="00A563E4">
            <w:pPr>
              <w:spacing w:line="267" w:lineRule="atLeast"/>
              <w:jc w:val="left"/>
              <w:rPr>
                <w:rFonts w:hint="default"/>
              </w:rPr>
            </w:pPr>
            <w:r>
              <w:t>・鏡の役割やお金の歴史</w:t>
            </w:r>
            <w:r w:rsidR="00AA3F21">
              <w:t>、鋳造技術について</w:t>
            </w:r>
            <w:r w:rsidR="00755F51">
              <w:t>話を聞く</w:t>
            </w:r>
            <w:bookmarkStart w:id="0" w:name="_GoBack"/>
            <w:bookmarkEnd w:id="0"/>
          </w:p>
        </w:tc>
        <w:tc>
          <w:tcPr>
            <w:tcW w:w="4536"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B12A70" w:rsidP="00B12A70">
            <w:pPr>
              <w:spacing w:line="267" w:lineRule="atLeast"/>
              <w:rPr>
                <w:rFonts w:hAnsi="ＭＳ 明朝" w:hint="default"/>
              </w:rPr>
            </w:pPr>
            <w:r>
              <w:rPr>
                <w:rFonts w:hAnsi="ＭＳ 明朝"/>
              </w:rPr>
              <w:t>・身近なところにも遺跡があることを学び、歴史学習への意欲を持たせる。</w:t>
            </w:r>
          </w:p>
          <w:p w:rsidR="00B12A70" w:rsidRDefault="00B12A70" w:rsidP="00B12A70">
            <w:pPr>
              <w:spacing w:line="267" w:lineRule="atLeast"/>
              <w:rPr>
                <w:rFonts w:hAnsi="ＭＳ 明朝" w:hint="default"/>
              </w:rPr>
            </w:pPr>
            <w:r>
              <w:rPr>
                <w:rFonts w:hAnsi="ＭＳ 明朝"/>
              </w:rPr>
              <w:t>・古鏡やお金についての基礎知識をしることで鋳造体験への関心を高める。</w:t>
            </w:r>
          </w:p>
        </w:tc>
        <w:tc>
          <w:tcPr>
            <w:tcW w:w="1135" w:type="dxa"/>
            <w:tcBorders>
              <w:top w:val="dashSmallGap" w:sz="4" w:space="0" w:color="auto"/>
              <w:left w:val="single" w:sz="4" w:space="0" w:color="000000"/>
              <w:bottom w:val="dashSmallGap" w:sz="4" w:space="0" w:color="auto"/>
              <w:right w:val="single" w:sz="4" w:space="0" w:color="000000"/>
            </w:tcBorders>
          </w:tcPr>
          <w:p w:rsidR="00B12A70" w:rsidRDefault="00B12A70" w:rsidP="00345FF2">
            <w:pPr>
              <w:spacing w:line="267" w:lineRule="atLeast"/>
              <w:rPr>
                <w:rFonts w:hAnsi="ＭＳ 明朝" w:hint="default"/>
              </w:rPr>
            </w:pPr>
            <w:r>
              <w:rPr>
                <w:rFonts w:hAnsi="ＭＳ 明朝"/>
              </w:rPr>
              <w:t>・ﾊﾟﾜｰﾎﾟｲﾝﾄ</w:t>
            </w:r>
          </w:p>
          <w:p w:rsidR="00B12A70" w:rsidRDefault="00B12A70" w:rsidP="00345FF2">
            <w:pPr>
              <w:spacing w:line="267" w:lineRule="atLeast"/>
              <w:rPr>
                <w:rFonts w:hAnsi="ＭＳ 明朝" w:hint="default"/>
              </w:rPr>
            </w:pPr>
          </w:p>
          <w:p w:rsidR="00B12A70" w:rsidRDefault="00B12A70" w:rsidP="00345FF2">
            <w:pPr>
              <w:spacing w:line="267" w:lineRule="atLeast"/>
              <w:rPr>
                <w:rFonts w:hAnsi="ＭＳ 明朝" w:hint="default"/>
              </w:rPr>
            </w:pPr>
            <w:r>
              <w:rPr>
                <w:rFonts w:hAnsi="ＭＳ 明朝"/>
              </w:rPr>
              <w:t>・ﾊﾟﾜｰﾎﾟｲﾝﾄ</w:t>
            </w:r>
          </w:p>
          <w:p w:rsidR="00B12A70" w:rsidRDefault="00B12A70" w:rsidP="00345FF2">
            <w:pPr>
              <w:spacing w:line="267" w:lineRule="atLeast"/>
              <w:rPr>
                <w:rFonts w:hAnsi="ＭＳ 明朝" w:hint="default"/>
              </w:rPr>
            </w:pPr>
            <w:r>
              <w:rPr>
                <w:rFonts w:hAnsi="ＭＳ 明朝"/>
              </w:rPr>
              <w:t>・配布資料</w:t>
            </w:r>
          </w:p>
        </w:tc>
      </w:tr>
      <w:tr w:rsidR="00B12A70" w:rsidTr="00A563E4">
        <w:trPr>
          <w:trHeight w:val="1964"/>
        </w:trPr>
        <w:tc>
          <w:tcPr>
            <w:tcW w:w="837" w:type="dxa"/>
            <w:tcBorders>
              <w:top w:val="dashSmallGap" w:sz="4" w:space="0" w:color="auto"/>
              <w:left w:val="single" w:sz="4" w:space="0" w:color="000000"/>
              <w:bottom w:val="dashSmallGap" w:sz="4" w:space="0" w:color="auto"/>
              <w:right w:val="single" w:sz="4" w:space="0" w:color="000000"/>
            </w:tcBorders>
          </w:tcPr>
          <w:p w:rsidR="00B12A70" w:rsidRPr="00B12A70" w:rsidRDefault="00B12A70" w:rsidP="009A14AF">
            <w:pPr>
              <w:spacing w:line="267" w:lineRule="atLeast"/>
              <w:rPr>
                <w:rFonts w:hint="default"/>
                <w:sz w:val="20"/>
              </w:rPr>
            </w:pPr>
            <w:r>
              <w:rPr>
                <w:sz w:val="20"/>
              </w:rPr>
              <w:t>10:00</w:t>
            </w:r>
          </w:p>
          <w:p w:rsidR="00B12A70" w:rsidRPr="00B12A70" w:rsidRDefault="00B12A70" w:rsidP="009A14AF">
            <w:pPr>
              <w:spacing w:line="267" w:lineRule="atLeast"/>
              <w:rPr>
                <w:rFonts w:hint="default"/>
                <w:sz w:val="20"/>
              </w:rPr>
            </w:pPr>
          </w:p>
          <w:p w:rsidR="00B12A70" w:rsidRPr="00B12A70" w:rsidRDefault="00B12A70" w:rsidP="009A14AF">
            <w:pPr>
              <w:spacing w:line="267" w:lineRule="atLeast"/>
              <w:rPr>
                <w:rFonts w:hint="default"/>
                <w:sz w:val="20"/>
              </w:rPr>
            </w:pPr>
          </w:p>
          <w:p w:rsidR="00B12A70" w:rsidRPr="00B12A70" w:rsidRDefault="00B12A70" w:rsidP="009A14AF">
            <w:pPr>
              <w:spacing w:line="267" w:lineRule="atLeast"/>
              <w:rPr>
                <w:rFonts w:hint="default"/>
                <w:sz w:val="20"/>
              </w:rPr>
            </w:pPr>
          </w:p>
          <w:p w:rsidR="00B12A70" w:rsidRPr="00B12A70" w:rsidRDefault="00B12A70" w:rsidP="009A14AF">
            <w:pPr>
              <w:spacing w:line="267" w:lineRule="atLeast"/>
              <w:rPr>
                <w:rFonts w:hint="default"/>
                <w:sz w:val="20"/>
              </w:rPr>
            </w:pPr>
            <w:r>
              <w:rPr>
                <w:sz w:val="20"/>
              </w:rPr>
              <w:t>10:10～</w:t>
            </w:r>
          </w:p>
        </w:tc>
        <w:tc>
          <w:tcPr>
            <w:tcW w:w="2693"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B12A70" w:rsidP="001D5852">
            <w:pPr>
              <w:spacing w:line="267" w:lineRule="atLeast"/>
              <w:jc w:val="left"/>
              <w:rPr>
                <w:rFonts w:hint="default"/>
              </w:rPr>
            </w:pPr>
            <w:r>
              <w:t>金属鏡を作ろう</w:t>
            </w:r>
          </w:p>
          <w:p w:rsidR="00B12A70" w:rsidRDefault="00B12A70" w:rsidP="00B12A70">
            <w:pPr>
              <w:spacing w:line="267" w:lineRule="atLeast"/>
              <w:jc w:val="left"/>
              <w:rPr>
                <w:rFonts w:hint="default"/>
              </w:rPr>
            </w:pPr>
            <w:r>
              <w:t xml:space="preserve">　・作り方の説明を聞く</w:t>
            </w:r>
          </w:p>
          <w:p w:rsidR="00B12A70" w:rsidRDefault="00B12A70" w:rsidP="00B12A70">
            <w:pPr>
              <w:spacing w:line="267" w:lineRule="atLeast"/>
              <w:jc w:val="left"/>
              <w:rPr>
                <w:rFonts w:hint="default"/>
              </w:rPr>
            </w:pPr>
            <w:r>
              <w:t xml:space="preserve">　・作り方を見る</w:t>
            </w:r>
          </w:p>
          <w:p w:rsidR="00B12A70" w:rsidRDefault="00B12A70" w:rsidP="00B12A70">
            <w:pPr>
              <w:spacing w:line="267" w:lineRule="atLeast"/>
              <w:jc w:val="left"/>
              <w:rPr>
                <w:rFonts w:hint="default"/>
              </w:rPr>
            </w:pPr>
          </w:p>
          <w:p w:rsidR="00B12A70" w:rsidRDefault="00B12A70" w:rsidP="00B12A70">
            <w:pPr>
              <w:spacing w:line="267" w:lineRule="atLeast"/>
              <w:jc w:val="left"/>
              <w:rPr>
                <w:rFonts w:hint="default"/>
              </w:rPr>
            </w:pPr>
            <w:r>
              <w:t xml:space="preserve">　・鏡を作る（体験）</w:t>
            </w:r>
          </w:p>
          <w:p w:rsidR="00B12A70" w:rsidRDefault="00B12A70" w:rsidP="001D5852">
            <w:pPr>
              <w:spacing w:line="267" w:lineRule="atLeast"/>
              <w:jc w:val="left"/>
              <w:rPr>
                <w:rFonts w:hint="default"/>
              </w:rPr>
            </w:pPr>
          </w:p>
        </w:tc>
        <w:tc>
          <w:tcPr>
            <w:tcW w:w="4536"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B12A70" w:rsidP="001D5852">
            <w:pPr>
              <w:spacing w:line="267" w:lineRule="atLeast"/>
              <w:jc w:val="left"/>
              <w:rPr>
                <w:rFonts w:hAnsi="ＭＳ 明朝" w:hint="default"/>
              </w:rPr>
            </w:pPr>
            <w:r>
              <w:rPr>
                <w:rFonts w:hAnsi="ＭＳ 明朝"/>
              </w:rPr>
              <w:t>・作り方の流れを資料で説明</w:t>
            </w:r>
          </w:p>
          <w:p w:rsidR="00A563E4" w:rsidRDefault="00B12A70" w:rsidP="00A563E4">
            <w:pPr>
              <w:spacing w:line="267" w:lineRule="atLeast"/>
              <w:jc w:val="left"/>
              <w:rPr>
                <w:rFonts w:hAnsi="ＭＳ 明朝" w:hint="default"/>
              </w:rPr>
            </w:pPr>
            <w:r>
              <w:rPr>
                <w:rFonts w:hAnsi="ＭＳ 明朝"/>
              </w:rPr>
              <w:t>・鋳造は一度実演し、これから行う作業への理解を助ける</w:t>
            </w:r>
          </w:p>
          <w:p w:rsidR="00B12A70" w:rsidRDefault="00B12A70" w:rsidP="00A563E4">
            <w:pPr>
              <w:spacing w:line="267" w:lineRule="atLeast"/>
              <w:jc w:val="left"/>
              <w:rPr>
                <w:rFonts w:hAnsi="ＭＳ 明朝" w:hint="default"/>
              </w:rPr>
            </w:pPr>
            <w:r>
              <w:rPr>
                <w:rFonts w:hAnsi="ＭＳ 明朝"/>
              </w:rPr>
              <w:t>（①セット～流し込み　③取り出し～研磨）</w:t>
            </w:r>
          </w:p>
          <w:p w:rsidR="00A563E4" w:rsidRDefault="00A563E4" w:rsidP="00A563E4">
            <w:pPr>
              <w:spacing w:line="267" w:lineRule="atLeast"/>
              <w:jc w:val="left"/>
              <w:rPr>
                <w:rFonts w:hAnsi="ＭＳ 明朝" w:hint="default"/>
              </w:rPr>
            </w:pPr>
            <w:r>
              <w:rPr>
                <w:rFonts w:hAnsi="ＭＳ 明朝"/>
              </w:rPr>
              <w:t>・②セット～流し込み　④取り出し～研磨</w:t>
            </w:r>
          </w:p>
          <w:p w:rsidR="00A563E4" w:rsidRDefault="00A563E4" w:rsidP="00A563E4">
            <w:pPr>
              <w:spacing w:line="267" w:lineRule="atLeast"/>
              <w:jc w:val="left"/>
              <w:rPr>
                <w:rFonts w:hAnsi="ＭＳ 明朝" w:hint="default"/>
              </w:rPr>
            </w:pPr>
            <w:r>
              <w:rPr>
                <w:rFonts w:hAnsi="ＭＳ 明朝"/>
              </w:rPr>
              <w:t>・作業の際には安全面に十分注意する。</w:t>
            </w:r>
          </w:p>
        </w:tc>
        <w:tc>
          <w:tcPr>
            <w:tcW w:w="1135" w:type="dxa"/>
            <w:tcBorders>
              <w:top w:val="dashSmallGap" w:sz="4" w:space="0" w:color="auto"/>
              <w:left w:val="single" w:sz="4" w:space="0" w:color="000000"/>
              <w:bottom w:val="dashSmallGap" w:sz="4" w:space="0" w:color="auto"/>
              <w:right w:val="single" w:sz="4" w:space="0" w:color="000000"/>
            </w:tcBorders>
          </w:tcPr>
          <w:p w:rsidR="00B12A70" w:rsidRDefault="00A563E4" w:rsidP="00345FF2">
            <w:pPr>
              <w:spacing w:line="267" w:lineRule="atLeast"/>
              <w:rPr>
                <w:rFonts w:hAnsi="ＭＳ 明朝" w:hint="default"/>
              </w:rPr>
            </w:pPr>
            <w:r>
              <w:rPr>
                <w:rFonts w:hAnsi="ＭＳ 明朝"/>
              </w:rPr>
              <w:t>・配布資料</w:t>
            </w:r>
          </w:p>
          <w:p w:rsidR="00A563E4" w:rsidRDefault="00A563E4" w:rsidP="00345FF2">
            <w:pPr>
              <w:spacing w:line="267" w:lineRule="atLeast"/>
              <w:rPr>
                <w:rFonts w:hAnsi="ＭＳ 明朝" w:hint="default"/>
              </w:rPr>
            </w:pPr>
            <w:r>
              <w:rPr>
                <w:rFonts w:hAnsi="ＭＳ 明朝"/>
              </w:rPr>
              <w:t>・指導者用体験ｷｯﾄ</w:t>
            </w:r>
          </w:p>
          <w:p w:rsidR="00A563E4" w:rsidRDefault="00A563E4" w:rsidP="00345FF2">
            <w:pPr>
              <w:spacing w:line="267" w:lineRule="atLeast"/>
              <w:rPr>
                <w:rFonts w:hAnsi="ＭＳ 明朝" w:hint="default"/>
              </w:rPr>
            </w:pPr>
          </w:p>
          <w:p w:rsidR="00A563E4" w:rsidRDefault="00A563E4" w:rsidP="00345FF2">
            <w:pPr>
              <w:spacing w:line="267" w:lineRule="atLeast"/>
              <w:rPr>
                <w:rFonts w:hAnsi="ＭＳ 明朝" w:hint="default"/>
              </w:rPr>
            </w:pPr>
            <w:r>
              <w:rPr>
                <w:rFonts w:hAnsi="ＭＳ 明朝"/>
              </w:rPr>
              <w:t>・体験ｷｯﾄは机に準備</w:t>
            </w:r>
          </w:p>
        </w:tc>
      </w:tr>
      <w:tr w:rsidR="00B12A70" w:rsidTr="00A563E4">
        <w:trPr>
          <w:trHeight w:val="711"/>
        </w:trPr>
        <w:tc>
          <w:tcPr>
            <w:tcW w:w="837" w:type="dxa"/>
            <w:tcBorders>
              <w:top w:val="dashSmallGap" w:sz="4" w:space="0" w:color="auto"/>
              <w:left w:val="single" w:sz="4" w:space="0" w:color="000000"/>
              <w:bottom w:val="dashSmallGap" w:sz="4" w:space="0" w:color="auto"/>
              <w:right w:val="single" w:sz="4" w:space="0" w:color="000000"/>
            </w:tcBorders>
          </w:tcPr>
          <w:p w:rsidR="00B12A70" w:rsidRPr="00B12A70" w:rsidRDefault="00B12A70" w:rsidP="009A14AF">
            <w:pPr>
              <w:spacing w:line="267" w:lineRule="atLeast"/>
              <w:rPr>
                <w:rFonts w:hint="default"/>
                <w:sz w:val="20"/>
              </w:rPr>
            </w:pPr>
            <w:r>
              <w:rPr>
                <w:sz w:val="20"/>
              </w:rPr>
              <w:t>11:00</w:t>
            </w:r>
          </w:p>
        </w:tc>
        <w:tc>
          <w:tcPr>
            <w:tcW w:w="2693"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B12A70" w:rsidP="004E77DF">
            <w:pPr>
              <w:spacing w:line="267" w:lineRule="atLeast"/>
              <w:jc w:val="left"/>
              <w:rPr>
                <w:rFonts w:hint="default"/>
              </w:rPr>
            </w:pPr>
            <w:r>
              <w:t>トイレ休憩・遺物見学</w:t>
            </w:r>
          </w:p>
        </w:tc>
        <w:tc>
          <w:tcPr>
            <w:tcW w:w="4536"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A563E4" w:rsidP="00626ED4">
            <w:pPr>
              <w:spacing w:line="267" w:lineRule="atLeast"/>
              <w:rPr>
                <w:rFonts w:hAnsi="ＭＳ 明朝" w:hint="default"/>
              </w:rPr>
            </w:pPr>
            <w:r>
              <w:rPr>
                <w:rFonts w:hAnsi="ＭＳ 明朝"/>
              </w:rPr>
              <w:t>・鏡や和同開珎が作られた時代の土器を見学</w:t>
            </w:r>
          </w:p>
          <w:p w:rsidR="00A563E4" w:rsidRPr="00626ED4" w:rsidRDefault="00A563E4" w:rsidP="00626ED4">
            <w:pPr>
              <w:spacing w:line="267" w:lineRule="atLeast"/>
              <w:rPr>
                <w:rFonts w:hAnsi="ＭＳ 明朝" w:hint="default"/>
              </w:rPr>
            </w:pPr>
            <w:r>
              <w:rPr>
                <w:rFonts w:hAnsi="ＭＳ 明朝"/>
              </w:rPr>
              <w:t>・和同開珎キットの準備</w:t>
            </w:r>
          </w:p>
        </w:tc>
        <w:tc>
          <w:tcPr>
            <w:tcW w:w="1135" w:type="dxa"/>
            <w:tcBorders>
              <w:top w:val="dashSmallGap" w:sz="4" w:space="0" w:color="auto"/>
              <w:left w:val="single" w:sz="4" w:space="0" w:color="000000"/>
              <w:bottom w:val="dashSmallGap" w:sz="4" w:space="0" w:color="auto"/>
              <w:right w:val="single" w:sz="4" w:space="0" w:color="000000"/>
            </w:tcBorders>
          </w:tcPr>
          <w:p w:rsidR="00B12A70" w:rsidRDefault="00A563E4" w:rsidP="00345FF2">
            <w:pPr>
              <w:spacing w:line="267" w:lineRule="atLeast"/>
              <w:rPr>
                <w:rFonts w:hAnsi="ＭＳ 明朝" w:hint="default"/>
              </w:rPr>
            </w:pPr>
            <w:r>
              <w:rPr>
                <w:rFonts w:hAnsi="ＭＳ 明朝"/>
              </w:rPr>
              <w:t>・弥生土器</w:t>
            </w:r>
          </w:p>
          <w:p w:rsidR="00A563E4" w:rsidRDefault="00A563E4" w:rsidP="00345FF2">
            <w:pPr>
              <w:spacing w:line="267" w:lineRule="atLeast"/>
              <w:rPr>
                <w:rFonts w:hAnsi="ＭＳ 明朝" w:hint="default"/>
              </w:rPr>
            </w:pPr>
            <w:r>
              <w:rPr>
                <w:rFonts w:hAnsi="ＭＳ 明朝"/>
              </w:rPr>
              <w:t>・須恵器</w:t>
            </w:r>
          </w:p>
          <w:p w:rsidR="00A563E4" w:rsidRDefault="00A563E4" w:rsidP="00345FF2">
            <w:pPr>
              <w:spacing w:line="267" w:lineRule="atLeast"/>
              <w:rPr>
                <w:rFonts w:hAnsi="ＭＳ 明朝" w:hint="default"/>
              </w:rPr>
            </w:pPr>
            <w:r>
              <w:rPr>
                <w:rFonts w:hAnsi="ＭＳ 明朝"/>
              </w:rPr>
              <w:t>・寛永通宝</w:t>
            </w:r>
          </w:p>
        </w:tc>
      </w:tr>
      <w:tr w:rsidR="00B12A70" w:rsidTr="00A563E4">
        <w:trPr>
          <w:trHeight w:val="1178"/>
        </w:trPr>
        <w:tc>
          <w:tcPr>
            <w:tcW w:w="837" w:type="dxa"/>
            <w:tcBorders>
              <w:top w:val="dashSmallGap" w:sz="4" w:space="0" w:color="auto"/>
              <w:left w:val="single" w:sz="4" w:space="0" w:color="000000"/>
              <w:bottom w:val="dashSmallGap" w:sz="4" w:space="0" w:color="auto"/>
              <w:right w:val="single" w:sz="4" w:space="0" w:color="000000"/>
            </w:tcBorders>
          </w:tcPr>
          <w:p w:rsidR="00B12A70" w:rsidRPr="00B12A70" w:rsidRDefault="00B12A70" w:rsidP="001F281D">
            <w:pPr>
              <w:spacing w:line="267" w:lineRule="atLeast"/>
              <w:rPr>
                <w:rFonts w:hint="default"/>
                <w:sz w:val="20"/>
              </w:rPr>
            </w:pPr>
            <w:r>
              <w:rPr>
                <w:sz w:val="20"/>
              </w:rPr>
              <w:t>11:10</w:t>
            </w:r>
          </w:p>
          <w:p w:rsidR="00B12A70" w:rsidRPr="00B12A70" w:rsidRDefault="00B12A70" w:rsidP="001F281D">
            <w:pPr>
              <w:spacing w:line="267" w:lineRule="atLeast"/>
              <w:rPr>
                <w:rFonts w:hint="default"/>
                <w:sz w:val="20"/>
              </w:rPr>
            </w:pPr>
          </w:p>
          <w:p w:rsidR="00B12A70" w:rsidRPr="00B12A70" w:rsidRDefault="00B12A70" w:rsidP="001F281D">
            <w:pPr>
              <w:spacing w:line="267" w:lineRule="atLeast"/>
              <w:rPr>
                <w:rFonts w:hint="default"/>
                <w:sz w:val="20"/>
              </w:rPr>
            </w:pPr>
            <w:r>
              <w:rPr>
                <w:sz w:val="20"/>
              </w:rPr>
              <w:t>11:15</w:t>
            </w:r>
            <w:r w:rsidRPr="00B12A70">
              <w:rPr>
                <w:sz w:val="20"/>
              </w:rPr>
              <w:t>～</w:t>
            </w:r>
          </w:p>
        </w:tc>
        <w:tc>
          <w:tcPr>
            <w:tcW w:w="2693"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B12A70" w:rsidP="00B12A70">
            <w:pPr>
              <w:spacing w:line="267" w:lineRule="atLeast"/>
              <w:jc w:val="left"/>
              <w:rPr>
                <w:rFonts w:hint="default"/>
              </w:rPr>
            </w:pPr>
            <w:r>
              <w:t>和同開珎を作る</w:t>
            </w:r>
          </w:p>
          <w:p w:rsidR="00B12A70" w:rsidRDefault="00B12A70" w:rsidP="00B12A70">
            <w:pPr>
              <w:spacing w:line="267" w:lineRule="atLeast"/>
              <w:jc w:val="left"/>
              <w:rPr>
                <w:rFonts w:hint="default"/>
              </w:rPr>
            </w:pPr>
            <w:r>
              <w:t xml:space="preserve">　・作り方の説明を聞く</w:t>
            </w:r>
          </w:p>
          <w:p w:rsidR="00B12A70" w:rsidRDefault="00B12A70" w:rsidP="00B12A70">
            <w:pPr>
              <w:spacing w:line="267" w:lineRule="atLeast"/>
              <w:jc w:val="left"/>
              <w:rPr>
                <w:rFonts w:hint="default"/>
              </w:rPr>
            </w:pPr>
            <w:r>
              <w:t xml:space="preserve">　・和同開珎作り（体験）</w:t>
            </w:r>
          </w:p>
        </w:tc>
        <w:tc>
          <w:tcPr>
            <w:tcW w:w="4536" w:type="dxa"/>
            <w:tcBorders>
              <w:top w:val="dashSmallGap" w:sz="4" w:space="0" w:color="auto"/>
              <w:left w:val="single" w:sz="4" w:space="0" w:color="000000"/>
              <w:bottom w:val="dashSmallGap" w:sz="4" w:space="0" w:color="auto"/>
              <w:right w:val="single" w:sz="4" w:space="0" w:color="000000"/>
            </w:tcBorders>
            <w:tcMar>
              <w:left w:w="49" w:type="dxa"/>
              <w:right w:w="49" w:type="dxa"/>
            </w:tcMar>
          </w:tcPr>
          <w:p w:rsidR="00B12A70" w:rsidRDefault="00A563E4" w:rsidP="00345FF2">
            <w:pPr>
              <w:spacing w:line="267" w:lineRule="atLeast"/>
              <w:jc w:val="left"/>
              <w:rPr>
                <w:rFonts w:hAnsi="ＭＳ 明朝" w:hint="default"/>
              </w:rPr>
            </w:pPr>
            <w:r>
              <w:rPr>
                <w:rFonts w:hAnsi="ＭＳ 明朝"/>
              </w:rPr>
              <w:t>・作り方の流れを資料で説明</w:t>
            </w:r>
          </w:p>
          <w:p w:rsidR="00EB0669" w:rsidRDefault="00A563E4" w:rsidP="00345FF2">
            <w:pPr>
              <w:spacing w:line="267" w:lineRule="atLeast"/>
              <w:jc w:val="left"/>
              <w:rPr>
                <w:rFonts w:hAnsi="ＭＳ 明朝" w:hint="default"/>
              </w:rPr>
            </w:pPr>
            <w:r>
              <w:rPr>
                <w:rFonts w:hAnsi="ＭＳ 明朝"/>
              </w:rPr>
              <w:t>・セット～取り出しは指導者、鋳バリ取り～研磨は児童</w:t>
            </w:r>
          </w:p>
          <w:p w:rsidR="00A563E4" w:rsidRDefault="00EB0669" w:rsidP="00345FF2">
            <w:pPr>
              <w:spacing w:line="267" w:lineRule="atLeast"/>
              <w:jc w:val="left"/>
              <w:rPr>
                <w:rFonts w:hAnsi="ＭＳ 明朝" w:hint="default"/>
              </w:rPr>
            </w:pPr>
            <w:r>
              <w:rPr>
                <w:rFonts w:hAnsi="ＭＳ 明朝"/>
              </w:rPr>
              <w:t>・</w:t>
            </w:r>
            <w:r w:rsidR="00F64E4E">
              <w:rPr>
                <w:rFonts w:hAnsi="ＭＳ 明朝"/>
              </w:rPr>
              <w:t>磨きの時間を多くとる</w:t>
            </w:r>
          </w:p>
          <w:p w:rsidR="00A563E4" w:rsidRDefault="00A563E4" w:rsidP="00345FF2">
            <w:pPr>
              <w:spacing w:line="267" w:lineRule="atLeast"/>
              <w:jc w:val="left"/>
              <w:rPr>
                <w:rFonts w:hAnsi="ＭＳ 明朝" w:hint="default"/>
              </w:rPr>
            </w:pPr>
            <w:r>
              <w:rPr>
                <w:rFonts w:hAnsi="ＭＳ 明朝"/>
              </w:rPr>
              <w:t>・作業の際は安全面に十分注意する。</w:t>
            </w:r>
          </w:p>
        </w:tc>
        <w:tc>
          <w:tcPr>
            <w:tcW w:w="1135" w:type="dxa"/>
            <w:tcBorders>
              <w:top w:val="dashSmallGap" w:sz="4" w:space="0" w:color="auto"/>
              <w:left w:val="single" w:sz="4" w:space="0" w:color="000000"/>
              <w:bottom w:val="dashSmallGap" w:sz="4" w:space="0" w:color="auto"/>
              <w:right w:val="single" w:sz="4" w:space="0" w:color="000000"/>
            </w:tcBorders>
          </w:tcPr>
          <w:p w:rsidR="00B12A70" w:rsidRDefault="00A563E4" w:rsidP="00345FF2">
            <w:pPr>
              <w:spacing w:line="267" w:lineRule="atLeast"/>
              <w:jc w:val="left"/>
              <w:rPr>
                <w:rFonts w:hAnsi="ＭＳ 明朝" w:hint="default"/>
              </w:rPr>
            </w:pPr>
            <w:r>
              <w:rPr>
                <w:rFonts w:hAnsi="ＭＳ 明朝"/>
              </w:rPr>
              <w:t>・配布資料</w:t>
            </w:r>
          </w:p>
          <w:p w:rsidR="00A563E4" w:rsidRDefault="00A563E4" w:rsidP="00A563E4">
            <w:pPr>
              <w:spacing w:line="267" w:lineRule="atLeast"/>
              <w:jc w:val="left"/>
              <w:rPr>
                <w:rFonts w:hAnsi="ＭＳ 明朝" w:hint="default"/>
              </w:rPr>
            </w:pPr>
            <w:r>
              <w:rPr>
                <w:rFonts w:hAnsi="ＭＳ 明朝"/>
              </w:rPr>
              <w:t>・体験ｷｯﾄは机に準備</w:t>
            </w:r>
          </w:p>
        </w:tc>
      </w:tr>
      <w:tr w:rsidR="00B12A70" w:rsidTr="00A563E4">
        <w:trPr>
          <w:trHeight w:val="1178"/>
        </w:trPr>
        <w:tc>
          <w:tcPr>
            <w:tcW w:w="837" w:type="dxa"/>
            <w:tcBorders>
              <w:top w:val="dashSmallGap" w:sz="4" w:space="0" w:color="auto"/>
              <w:left w:val="single" w:sz="4" w:space="0" w:color="000000"/>
              <w:bottom w:val="single" w:sz="4" w:space="0" w:color="000000"/>
              <w:right w:val="single" w:sz="4" w:space="0" w:color="000000"/>
            </w:tcBorders>
          </w:tcPr>
          <w:p w:rsidR="00B12A70" w:rsidRPr="00B12A70" w:rsidRDefault="00A563E4" w:rsidP="009A14AF">
            <w:pPr>
              <w:spacing w:line="267" w:lineRule="atLeast"/>
              <w:rPr>
                <w:rFonts w:hint="default"/>
                <w:sz w:val="20"/>
              </w:rPr>
            </w:pPr>
            <w:r>
              <w:rPr>
                <w:sz w:val="20"/>
              </w:rPr>
              <w:t>11:30</w:t>
            </w:r>
            <w:r w:rsidR="00B12A70" w:rsidRPr="00B12A70">
              <w:rPr>
                <w:sz w:val="20"/>
              </w:rPr>
              <w:t>～</w:t>
            </w:r>
          </w:p>
        </w:tc>
        <w:tc>
          <w:tcPr>
            <w:tcW w:w="2693"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B12A70" w:rsidRDefault="00B12A70" w:rsidP="00345FF2">
            <w:pPr>
              <w:spacing w:line="267" w:lineRule="atLeast"/>
              <w:jc w:val="left"/>
              <w:rPr>
                <w:rFonts w:hint="default"/>
              </w:rPr>
            </w:pPr>
            <w:r>
              <w:t>学習のまとめをする</w:t>
            </w:r>
          </w:p>
          <w:p w:rsidR="00B12A70" w:rsidRDefault="00B12A70" w:rsidP="00345FF2">
            <w:pPr>
              <w:spacing w:line="267" w:lineRule="atLeast"/>
              <w:jc w:val="left"/>
              <w:rPr>
                <w:rFonts w:hint="default"/>
              </w:rPr>
            </w:pPr>
            <w:r>
              <w:t xml:space="preserve">　・感想発表</w:t>
            </w:r>
          </w:p>
          <w:p w:rsidR="00B12A70" w:rsidRDefault="00B12A70" w:rsidP="00345FF2">
            <w:pPr>
              <w:spacing w:line="267" w:lineRule="atLeast"/>
              <w:jc w:val="left"/>
              <w:rPr>
                <w:rFonts w:hint="default"/>
              </w:rPr>
            </w:pPr>
            <w:r>
              <w:t xml:space="preserve">　・アンケートに答える</w:t>
            </w:r>
          </w:p>
          <w:p w:rsidR="00B12A70" w:rsidRDefault="00B12A70" w:rsidP="00345FF2">
            <w:pPr>
              <w:spacing w:line="267" w:lineRule="atLeast"/>
              <w:jc w:val="left"/>
              <w:rPr>
                <w:rFonts w:hint="default"/>
              </w:rPr>
            </w:pPr>
            <w:r>
              <w:t xml:space="preserve">　・記念撮影</w:t>
            </w:r>
          </w:p>
        </w:tc>
        <w:tc>
          <w:tcPr>
            <w:tcW w:w="4536" w:type="dxa"/>
            <w:tcBorders>
              <w:top w:val="dashSmallGap" w:sz="4" w:space="0" w:color="auto"/>
              <w:left w:val="single" w:sz="4" w:space="0" w:color="000000"/>
              <w:bottom w:val="single" w:sz="4" w:space="0" w:color="000000"/>
              <w:right w:val="single" w:sz="4" w:space="0" w:color="000000"/>
            </w:tcBorders>
            <w:tcMar>
              <w:left w:w="49" w:type="dxa"/>
              <w:right w:w="49" w:type="dxa"/>
            </w:tcMar>
          </w:tcPr>
          <w:p w:rsidR="00B12A70" w:rsidRDefault="00B12A70" w:rsidP="00345FF2">
            <w:pPr>
              <w:spacing w:line="267" w:lineRule="atLeast"/>
              <w:jc w:val="left"/>
              <w:rPr>
                <w:rFonts w:hAnsi="ＭＳ 明朝" w:hint="default"/>
              </w:rPr>
            </w:pPr>
          </w:p>
        </w:tc>
        <w:tc>
          <w:tcPr>
            <w:tcW w:w="1135" w:type="dxa"/>
            <w:tcBorders>
              <w:top w:val="dashSmallGap" w:sz="4" w:space="0" w:color="auto"/>
              <w:left w:val="single" w:sz="4" w:space="0" w:color="000000"/>
              <w:bottom w:val="single" w:sz="4" w:space="0" w:color="000000"/>
              <w:right w:val="single" w:sz="4" w:space="0" w:color="000000"/>
            </w:tcBorders>
          </w:tcPr>
          <w:p w:rsidR="00B12A70" w:rsidRDefault="00B12A70" w:rsidP="00345FF2">
            <w:pPr>
              <w:spacing w:line="267" w:lineRule="atLeast"/>
              <w:jc w:val="left"/>
              <w:rPr>
                <w:rFonts w:hAnsi="ＭＳ 明朝" w:hint="default"/>
              </w:rPr>
            </w:pPr>
          </w:p>
        </w:tc>
      </w:tr>
    </w:tbl>
    <w:p w:rsidR="00EA244F" w:rsidRDefault="00EA244F" w:rsidP="00EA244F">
      <w:pPr>
        <w:rPr>
          <w:rFonts w:hAnsi="ＭＳ 明朝" w:hint="default"/>
        </w:rPr>
      </w:pPr>
      <w:r>
        <w:rPr>
          <w:rFonts w:hAnsi="ＭＳ 明朝"/>
          <w:spacing w:val="-11"/>
        </w:rPr>
        <w:t>４．準備物等</w:t>
      </w:r>
    </w:p>
    <w:p w:rsidR="00EA244F" w:rsidRDefault="00EA244F" w:rsidP="009A14AF">
      <w:pPr>
        <w:rPr>
          <w:rFonts w:hAnsi="ＭＳ 明朝" w:hint="default"/>
          <w:spacing w:val="-11"/>
        </w:rPr>
      </w:pPr>
      <w:r>
        <w:rPr>
          <w:rFonts w:hAnsi="ＭＳ 明朝"/>
          <w:spacing w:val="-11"/>
        </w:rPr>
        <w:t xml:space="preserve">　　</w:t>
      </w:r>
      <w:r w:rsidR="009A14AF">
        <w:rPr>
          <w:rFonts w:hAnsi="ＭＳ 明朝"/>
          <w:spacing w:val="-11"/>
        </w:rPr>
        <w:t>学校</w:t>
      </w:r>
      <w:r w:rsidR="004E77DF">
        <w:rPr>
          <w:rFonts w:hAnsi="ＭＳ 明朝"/>
          <w:spacing w:val="-11"/>
        </w:rPr>
        <w:t>、児童</w:t>
      </w:r>
      <w:r w:rsidR="009A14AF">
        <w:rPr>
          <w:rFonts w:hAnsi="ＭＳ 明朝"/>
          <w:spacing w:val="-11"/>
        </w:rPr>
        <w:t>・・・プロジェクター、スクリーン、ＰＣ</w:t>
      </w:r>
      <w:r w:rsidR="004E77DF">
        <w:rPr>
          <w:rFonts w:hAnsi="ＭＳ 明朝"/>
          <w:spacing w:val="-11"/>
        </w:rPr>
        <w:t>、雑巾、筆記用具、軍手</w:t>
      </w:r>
      <w:r w:rsidR="00A563E4">
        <w:rPr>
          <w:rFonts w:hAnsi="ＭＳ 明朝"/>
          <w:spacing w:val="-11"/>
        </w:rPr>
        <w:t>、水、バケツ</w:t>
      </w:r>
      <w:r w:rsidR="00F64E4E">
        <w:rPr>
          <w:rFonts w:hAnsi="ＭＳ 明朝"/>
          <w:spacing w:val="-11"/>
        </w:rPr>
        <w:t>、粘土板</w:t>
      </w:r>
    </w:p>
    <w:p w:rsidR="00A563E4" w:rsidRDefault="004E77DF" w:rsidP="00A563E4">
      <w:pPr>
        <w:ind w:left="1710" w:hangingChars="900" w:hanging="1710"/>
        <w:rPr>
          <w:rFonts w:hAnsi="ＭＳ 明朝" w:hint="default"/>
          <w:spacing w:val="-11"/>
        </w:rPr>
      </w:pPr>
      <w:r>
        <w:rPr>
          <w:rFonts w:hAnsi="ＭＳ 明朝"/>
          <w:spacing w:val="-11"/>
        </w:rPr>
        <w:t xml:space="preserve">　　埋文センター・・学習資料、</w:t>
      </w:r>
      <w:r w:rsidR="00A563E4">
        <w:rPr>
          <w:rFonts w:hAnsi="ＭＳ 明朝"/>
          <w:spacing w:val="-11"/>
        </w:rPr>
        <w:t>鏡・和同開珎</w:t>
      </w:r>
      <w:r>
        <w:rPr>
          <w:rFonts w:hAnsi="ＭＳ 明朝"/>
          <w:spacing w:val="-11"/>
        </w:rPr>
        <w:t>鋳型、</w:t>
      </w:r>
      <w:r w:rsidR="00AE1648">
        <w:rPr>
          <w:rFonts w:hAnsi="ＭＳ 明朝"/>
          <w:spacing w:val="-11"/>
        </w:rPr>
        <w:t>コンロ、鍋、低融点金属、布、</w:t>
      </w:r>
      <w:r w:rsidR="00A563E4">
        <w:rPr>
          <w:rFonts w:hAnsi="ＭＳ 明朝"/>
          <w:spacing w:val="-11"/>
        </w:rPr>
        <w:t>研磨剤</w:t>
      </w:r>
      <w:r w:rsidR="00AE1648">
        <w:rPr>
          <w:rFonts w:hAnsi="ＭＳ 明朝"/>
          <w:spacing w:val="-11"/>
        </w:rPr>
        <w:t>、</w:t>
      </w:r>
    </w:p>
    <w:p w:rsidR="00EA244F" w:rsidRDefault="00AE1648" w:rsidP="00A563E4">
      <w:pPr>
        <w:ind w:firstLineChars="900" w:firstLine="1710"/>
        <w:rPr>
          <w:rFonts w:hAnsi="ＭＳ 明朝" w:hint="default"/>
          <w:spacing w:val="-9"/>
        </w:rPr>
      </w:pPr>
      <w:r>
        <w:rPr>
          <w:rFonts w:hAnsi="ＭＳ 明朝"/>
          <w:spacing w:val="-11"/>
        </w:rPr>
        <w:t>サンドペーパー</w:t>
      </w:r>
      <w:r w:rsidR="00A563E4">
        <w:rPr>
          <w:rFonts w:hAnsi="ＭＳ 明朝"/>
          <w:spacing w:val="-11"/>
        </w:rPr>
        <w:t>、金ヤスリ、新聞紙、ニッパー</w:t>
      </w:r>
      <w:r w:rsidR="003A015F">
        <w:rPr>
          <w:rFonts w:hAnsi="ＭＳ 明朝"/>
          <w:spacing w:val="-11"/>
        </w:rPr>
        <w:t xml:space="preserve">　　</w:t>
      </w:r>
    </w:p>
    <w:sectPr w:rsidR="00EA244F" w:rsidSect="00AE1648">
      <w:endnotePr>
        <w:numFmt w:val="decimal"/>
      </w:endnotePr>
      <w:pgSz w:w="11906" w:h="16838"/>
      <w:pgMar w:top="1134" w:right="1417" w:bottom="1134" w:left="1417" w:header="720" w:footer="0" w:gutter="0"/>
      <w:cols w:space="720"/>
      <w:docGrid w:type="linesAndChars" w:linePitch="323"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62" w:rsidRDefault="00C96462" w:rsidP="003A015F">
      <w:pPr>
        <w:rPr>
          <w:rFonts w:hint="default"/>
        </w:rPr>
      </w:pPr>
      <w:r>
        <w:separator/>
      </w:r>
    </w:p>
  </w:endnote>
  <w:endnote w:type="continuationSeparator" w:id="0">
    <w:p w:rsidR="00C96462" w:rsidRDefault="00C96462" w:rsidP="003A01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62" w:rsidRDefault="00C96462" w:rsidP="003A015F">
      <w:pPr>
        <w:rPr>
          <w:rFonts w:hint="default"/>
        </w:rPr>
      </w:pPr>
      <w:r>
        <w:separator/>
      </w:r>
    </w:p>
  </w:footnote>
  <w:footnote w:type="continuationSeparator" w:id="0">
    <w:p w:rsidR="00C96462" w:rsidRDefault="00C96462" w:rsidP="003A015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A244F"/>
    <w:rsid w:val="00145CA3"/>
    <w:rsid w:val="00163FA1"/>
    <w:rsid w:val="001F281D"/>
    <w:rsid w:val="002265C8"/>
    <w:rsid w:val="00345CDD"/>
    <w:rsid w:val="003A015F"/>
    <w:rsid w:val="004C0A4C"/>
    <w:rsid w:val="004E77DF"/>
    <w:rsid w:val="00523FF6"/>
    <w:rsid w:val="00585F98"/>
    <w:rsid w:val="005A4A7F"/>
    <w:rsid w:val="00626ED4"/>
    <w:rsid w:val="006D2DD3"/>
    <w:rsid w:val="007412DA"/>
    <w:rsid w:val="00755F51"/>
    <w:rsid w:val="009535F0"/>
    <w:rsid w:val="009A14AF"/>
    <w:rsid w:val="00A563E4"/>
    <w:rsid w:val="00A95348"/>
    <w:rsid w:val="00AA3F21"/>
    <w:rsid w:val="00AE1648"/>
    <w:rsid w:val="00B12A70"/>
    <w:rsid w:val="00C96462"/>
    <w:rsid w:val="00D35215"/>
    <w:rsid w:val="00E2659D"/>
    <w:rsid w:val="00E30965"/>
    <w:rsid w:val="00EA244F"/>
    <w:rsid w:val="00EB0669"/>
    <w:rsid w:val="00F6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44F"/>
    <w:pPr>
      <w:widowControl w:val="0"/>
      <w:jc w:val="both"/>
      <w:textAlignment w:val="baseline"/>
    </w:pPr>
    <w:rPr>
      <w:rFonts w:ascii="ＭＳ 明朝" w:eastAsia="ＭＳ 明朝" w:hAnsi="Arial" w:cs="Arial"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A244F"/>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3A015F"/>
    <w:pPr>
      <w:tabs>
        <w:tab w:val="center" w:pos="4252"/>
        <w:tab w:val="right" w:pos="8504"/>
      </w:tabs>
      <w:snapToGrid w:val="0"/>
    </w:pPr>
  </w:style>
  <w:style w:type="character" w:customStyle="1" w:styleId="a5">
    <w:name w:val="ヘッダー (文字)"/>
    <w:basedOn w:val="a0"/>
    <w:link w:val="a4"/>
    <w:uiPriority w:val="99"/>
    <w:rsid w:val="003A015F"/>
    <w:rPr>
      <w:rFonts w:ascii="ＭＳ 明朝" w:eastAsia="ＭＳ 明朝" w:hAnsi="Arial" w:cs="Arial"/>
      <w:color w:val="000000"/>
      <w:kern w:val="0"/>
      <w:szCs w:val="20"/>
    </w:rPr>
  </w:style>
  <w:style w:type="paragraph" w:styleId="a6">
    <w:name w:val="footer"/>
    <w:basedOn w:val="a"/>
    <w:link w:val="a7"/>
    <w:uiPriority w:val="99"/>
    <w:unhideWhenUsed/>
    <w:rsid w:val="003A015F"/>
    <w:pPr>
      <w:tabs>
        <w:tab w:val="center" w:pos="4252"/>
        <w:tab w:val="right" w:pos="8504"/>
      </w:tabs>
      <w:snapToGrid w:val="0"/>
    </w:pPr>
  </w:style>
  <w:style w:type="character" w:customStyle="1" w:styleId="a7">
    <w:name w:val="フッター (文字)"/>
    <w:basedOn w:val="a0"/>
    <w:link w:val="a6"/>
    <w:uiPriority w:val="99"/>
    <w:rsid w:val="003A015F"/>
    <w:rPr>
      <w:rFonts w:ascii="ＭＳ 明朝" w:eastAsia="ＭＳ 明朝" w:hAnsi="Arial" w:cs="Arial"/>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出雲市教育委員会</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yuko</dc:creator>
  <cp:lastModifiedBy>945072</cp:lastModifiedBy>
  <cp:revision>6</cp:revision>
  <dcterms:created xsi:type="dcterms:W3CDTF">2015-11-26T09:54:00Z</dcterms:created>
  <dcterms:modified xsi:type="dcterms:W3CDTF">2016-01-05T04:24:00Z</dcterms:modified>
</cp:coreProperties>
</file>